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tabs>
          <w:tab w:val="right" w:pos="9360"/>
        </w:tabs>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Hamlyn Views School </w:t>
        <w:tab/>
      </w:r>
      <w:r w:rsidDel="00000000" w:rsidR="00000000" w:rsidRPr="00000000">
        <w:rPr>
          <w:rFonts w:ascii="Calibri" w:cs="Calibri" w:eastAsia="Calibri" w:hAnsi="Calibri"/>
          <w:b w:val="1"/>
          <w:sz w:val="36"/>
          <w:szCs w:val="36"/>
        </w:rPr>
        <w:drawing>
          <wp:inline distB="0" distT="0" distL="0" distR="0">
            <wp:extent cx="895589" cy="611253"/>
            <wp:effectExtent b="0" l="0" r="0" t="0"/>
            <wp:docPr descr="HMV P-8_Logo CMYK" id="6" name="image1.jpg"/>
            <a:graphic>
              <a:graphicData uri="http://schemas.openxmlformats.org/drawingml/2006/picture">
                <pic:pic>
                  <pic:nvPicPr>
                    <pic:cNvPr descr="HMV P-8_Logo CMYK" id="0" name="image1.jpg"/>
                    <pic:cNvPicPr preferRelativeResize="0"/>
                  </pic:nvPicPr>
                  <pic:blipFill>
                    <a:blip r:embed="rId7"/>
                    <a:srcRect b="0" l="0" r="0" t="0"/>
                    <a:stretch>
                      <a:fillRect/>
                    </a:stretch>
                  </pic:blipFill>
                  <pic:spPr>
                    <a:xfrm>
                      <a:off x="0" y="0"/>
                      <a:ext cx="895589" cy="61125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Bdr>
          <w:top w:color="000000" w:space="1" w:sz="4" w:val="single"/>
          <w:left w:color="000000" w:space="4" w:sz="4" w:val="single"/>
          <w:bottom w:color="000000" w:space="1" w:sz="4" w:val="single"/>
          <w:right w:color="000000" w:space="4" w:sz="4" w:val="single"/>
        </w:pBdr>
        <w:spacing w:after="0" w:lineRule="auto"/>
        <w:jc w:val="center"/>
        <w:rPr>
          <w:rFonts w:ascii="Century Gothic" w:cs="Century Gothic" w:eastAsia="Century Gothic" w:hAnsi="Century Gothic"/>
          <w:sz w:val="40"/>
          <w:szCs w:val="40"/>
        </w:rPr>
      </w:pPr>
      <w:r w:rsidDel="00000000" w:rsidR="00000000" w:rsidRPr="00000000">
        <w:rPr>
          <w:rFonts w:ascii="Century Gothic" w:cs="Century Gothic" w:eastAsia="Century Gothic" w:hAnsi="Century Gothic"/>
          <w:sz w:val="40"/>
          <w:szCs w:val="40"/>
          <w:rtl w:val="0"/>
        </w:rPr>
        <w:t xml:space="preserve">Safety and Welfare of Students with </w:t>
      </w:r>
    </w:p>
    <w:p w:rsidR="00000000" w:rsidDel="00000000" w:rsidP="00000000" w:rsidRDefault="00000000" w:rsidRPr="00000000" w14:paraId="00000003">
      <w:pPr>
        <w:pStyle w:val="Title"/>
        <w:pBdr>
          <w:top w:color="000000" w:space="1" w:sz="4" w:val="single"/>
          <w:left w:color="000000" w:space="4" w:sz="4" w:val="single"/>
          <w:bottom w:color="000000" w:space="1" w:sz="4" w:val="single"/>
          <w:right w:color="000000" w:space="4" w:sz="4" w:val="single"/>
        </w:pBdr>
        <w:spacing w:before="0" w:lineRule="auto"/>
        <w:jc w:val="center"/>
        <w:rPr>
          <w:rFonts w:ascii="Century Gothic" w:cs="Century Gothic" w:eastAsia="Century Gothic" w:hAnsi="Century Gothic"/>
          <w:sz w:val="40"/>
          <w:szCs w:val="40"/>
        </w:rPr>
      </w:pPr>
      <w:r w:rsidDel="00000000" w:rsidR="00000000" w:rsidRPr="00000000">
        <w:rPr>
          <w:rFonts w:ascii="Century Gothic" w:cs="Century Gothic" w:eastAsia="Century Gothic" w:hAnsi="Century Gothic"/>
          <w:sz w:val="40"/>
          <w:szCs w:val="40"/>
          <w:rtl w:val="0"/>
        </w:rPr>
        <w:t xml:space="preserve">External Providers Policy</w:t>
      </w:r>
    </w:p>
    <w:p w:rsidR="00000000" w:rsidDel="00000000" w:rsidP="00000000" w:rsidRDefault="00000000" w:rsidRPr="00000000" w14:paraId="00000004">
      <w:pPr>
        <w:keepNext w:val="1"/>
        <w:numPr>
          <w:ilvl w:val="0"/>
          <w:numId w:val="4"/>
        </w:numPr>
        <w:pBdr>
          <w:top w:space="0" w:sz="0" w:val="nil"/>
          <w:left w:space="0" w:sz="0" w:val="nil"/>
          <w:bottom w:space="0" w:sz="0" w:val="nil"/>
          <w:right w:space="0" w:sz="0" w:val="nil"/>
          <w:between w:space="0" w:sz="0" w:val="nil"/>
        </w:pBdr>
        <w:ind w:left="360" w:hanging="360"/>
        <w:rPr>
          <w:rFonts w:ascii="Century Gothic" w:cs="Century Gothic" w:eastAsia="Century Gothic" w:hAnsi="Century Gothic"/>
          <w:b w:val="1"/>
          <w:color w:val="000000"/>
        </w:rPr>
      </w:pPr>
      <w:r w:rsidDel="00000000" w:rsidR="00000000" w:rsidRPr="00000000">
        <w:rPr>
          <w:rFonts w:ascii="Century Gothic" w:cs="Century Gothic" w:eastAsia="Century Gothic" w:hAnsi="Century Gothic"/>
          <w:b w:val="1"/>
          <w:color w:val="000000"/>
          <w:rtl w:val="0"/>
        </w:rPr>
        <w:t xml:space="preserve">PURPOSE</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ind w:left="0" w:firstLine="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From time to time, Hamlyn Views Schools (HVS) may be approached by, or consider engaging with, external providers to supplement/enrich teaching and learning programs to address curriculum provision requirements, support individual student health and wellbeing or their re-engagement with learning.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ind w:left="0" w:firstLine="360"/>
        <w:rPr>
          <w:rFonts w:ascii="Century Gothic" w:cs="Century Gothic" w:eastAsia="Century Gothic" w:hAnsi="Century Gothic"/>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ind w:left="0" w:firstLine="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Whilst acknowledging the potential value of engaging with external providers to deliver educational programs Hamlyn Views School must ensure the safety and welfare of students as the school retains ‘</w:t>
      </w:r>
      <w:r w:rsidDel="00000000" w:rsidR="00000000" w:rsidRPr="00000000">
        <w:rPr>
          <w:rFonts w:ascii="Century Gothic" w:cs="Century Gothic" w:eastAsia="Century Gothic" w:hAnsi="Century Gothic"/>
          <w:b w:val="1"/>
          <w:color w:val="000000"/>
          <w:rtl w:val="0"/>
        </w:rPr>
        <w:t xml:space="preserve">duty of care</w:t>
      </w:r>
      <w:r w:rsidDel="00000000" w:rsidR="00000000" w:rsidRPr="00000000">
        <w:rPr>
          <w:rFonts w:ascii="Century Gothic" w:cs="Century Gothic" w:eastAsia="Century Gothic" w:hAnsi="Century Gothic"/>
          <w:color w:val="000000"/>
          <w:rtl w:val="0"/>
        </w:rPr>
        <w:t xml:space="preserve">’.</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ind w:left="0" w:firstLine="360"/>
        <w:rPr>
          <w:rFonts w:ascii="Century Gothic" w:cs="Century Gothic" w:eastAsia="Century Gothic" w:hAnsi="Century Gothic"/>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ind w:left="0" w:firstLine="360"/>
        <w:rPr>
          <w:rFonts w:ascii="Century Gothic" w:cs="Century Gothic" w:eastAsia="Century Gothic" w:hAnsi="Century Gothic"/>
          <w:color w:val="000000"/>
        </w:rPr>
      </w:pPr>
      <w:r w:rsidDel="00000000" w:rsidR="00000000" w:rsidRPr="00000000">
        <w:rPr>
          <w:rtl w:val="0"/>
        </w:rPr>
      </w:r>
    </w:p>
    <w:p w:rsidR="00000000" w:rsidDel="00000000" w:rsidP="00000000" w:rsidRDefault="00000000" w:rsidRPr="00000000" w14:paraId="0000000A">
      <w:pPr>
        <w:keepNext w:val="1"/>
        <w:numPr>
          <w:ilvl w:val="0"/>
          <w:numId w:val="4"/>
        </w:numPr>
        <w:pBdr>
          <w:top w:space="0" w:sz="0" w:val="nil"/>
          <w:left w:space="0" w:sz="0" w:val="nil"/>
          <w:bottom w:space="0" w:sz="0" w:val="nil"/>
          <w:right w:space="0" w:sz="0" w:val="nil"/>
          <w:between w:space="0" w:sz="0" w:val="nil"/>
        </w:pBdr>
        <w:ind w:left="360" w:hanging="360"/>
        <w:rPr>
          <w:rFonts w:ascii="Century Gothic" w:cs="Century Gothic" w:eastAsia="Century Gothic" w:hAnsi="Century Gothic"/>
          <w:b w:val="1"/>
          <w:color w:val="000000"/>
          <w:sz w:val="22"/>
          <w:szCs w:val="22"/>
        </w:rPr>
      </w:pPr>
      <w:r w:rsidDel="00000000" w:rsidR="00000000" w:rsidRPr="00000000">
        <w:rPr>
          <w:rFonts w:ascii="Century Gothic" w:cs="Century Gothic" w:eastAsia="Century Gothic" w:hAnsi="Century Gothic"/>
          <w:b w:val="1"/>
          <w:color w:val="000000"/>
          <w:sz w:val="22"/>
          <w:szCs w:val="22"/>
          <w:rtl w:val="0"/>
        </w:rPr>
        <w:t xml:space="preserve">DEFINITION </w:t>
      </w:r>
    </w:p>
    <w:p w:rsidR="00000000" w:rsidDel="00000000" w:rsidP="00000000" w:rsidRDefault="00000000" w:rsidRPr="00000000" w14:paraId="0000000B">
      <w:pPr>
        <w:ind w:left="0" w:firstLine="360"/>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External Provider</w:t>
      </w:r>
      <w:r w:rsidDel="00000000" w:rsidR="00000000" w:rsidRPr="00000000">
        <w:rPr>
          <w:rFonts w:ascii="Century Gothic" w:cs="Century Gothic" w:eastAsia="Century Gothic" w:hAnsi="Century Gothic"/>
          <w:rtl w:val="0"/>
        </w:rPr>
        <w:t xml:space="preserve"> refers to any person, organisation or group offering their services and/or resources to support school-based education or specialist support for an individual student, at the class, year or whole-school level. Providers operate under various business models and may offer their services to schools at a cost.</w:t>
      </w:r>
    </w:p>
    <w:p w:rsidR="00000000" w:rsidDel="00000000" w:rsidP="00000000" w:rsidRDefault="00000000" w:rsidRPr="00000000" w14:paraId="0000000C">
      <w:pPr>
        <w:keepNext w:val="1"/>
        <w:numPr>
          <w:ilvl w:val="0"/>
          <w:numId w:val="4"/>
        </w:numPr>
        <w:pBdr>
          <w:top w:space="0" w:sz="0" w:val="nil"/>
          <w:left w:space="0" w:sz="0" w:val="nil"/>
          <w:bottom w:space="0" w:sz="0" w:val="nil"/>
          <w:right w:space="0" w:sz="0" w:val="nil"/>
          <w:between w:space="0" w:sz="0" w:val="nil"/>
        </w:pBdr>
        <w:ind w:left="360" w:hanging="360"/>
        <w:rPr>
          <w:rFonts w:ascii="Century Gothic" w:cs="Century Gothic" w:eastAsia="Century Gothic" w:hAnsi="Century Gothic"/>
          <w:b w:val="1"/>
          <w:color w:val="000000"/>
          <w:sz w:val="22"/>
          <w:szCs w:val="22"/>
        </w:rPr>
      </w:pPr>
      <w:r w:rsidDel="00000000" w:rsidR="00000000" w:rsidRPr="00000000">
        <w:rPr>
          <w:rFonts w:ascii="Century Gothic" w:cs="Century Gothic" w:eastAsia="Century Gothic" w:hAnsi="Century Gothic"/>
          <w:b w:val="1"/>
          <w:color w:val="000000"/>
          <w:sz w:val="22"/>
          <w:szCs w:val="22"/>
          <w:rtl w:val="0"/>
        </w:rPr>
        <w:t xml:space="preserve">SCOPE </w:t>
      </w:r>
    </w:p>
    <w:p w:rsidR="00000000" w:rsidDel="00000000" w:rsidP="00000000" w:rsidRDefault="00000000" w:rsidRPr="00000000" w14:paraId="0000000D">
      <w:pPr>
        <w:ind w:left="0" w:firstLine="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External providers may be engaged by the school to enable students to access learning with experts and resources from outside the immediate school community. The programs, sessions and services provided should be evaluated on their capacity to contribute to the school’s curriculum plan, the ability to provide services beyond the scope and expertise of the teacher, and the specific requirements and learning support needs of individual students.</w:t>
      </w:r>
    </w:p>
    <w:p w:rsidR="00000000" w:rsidDel="00000000" w:rsidP="00000000" w:rsidRDefault="00000000" w:rsidRPr="00000000" w14:paraId="0000000E">
      <w:pPr>
        <w:ind w:left="0" w:firstLine="360"/>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All students have the right to feel and be safe in the framework of programs offered by HVS and in those offered by external providers. HVS accepts a duty of care to students accessing an external provider.</w:t>
      </w:r>
    </w:p>
    <w:p w:rsidR="00000000" w:rsidDel="00000000" w:rsidP="00000000" w:rsidRDefault="00000000" w:rsidRPr="00000000" w14:paraId="0000000F">
      <w:pPr>
        <w:shd w:fill="ffffff" w:val="clear"/>
        <w:spacing w:after="300" w:lineRule="auto"/>
        <w:ind w:left="0" w:firstLine="360"/>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These guidelines are not meant for use in relation to Camps and Excursions for which there are separate policies and guidelines.  </w:t>
      </w:r>
    </w:p>
    <w:p w:rsidR="00000000" w:rsidDel="00000000" w:rsidP="00000000" w:rsidRDefault="00000000" w:rsidRPr="00000000" w14:paraId="00000010">
      <w:pPr>
        <w:keepNext w:val="1"/>
        <w:numPr>
          <w:ilvl w:val="0"/>
          <w:numId w:val="4"/>
        </w:numPr>
        <w:pBdr>
          <w:top w:space="0" w:sz="0" w:val="nil"/>
          <w:left w:space="0" w:sz="0" w:val="nil"/>
          <w:bottom w:space="0" w:sz="0" w:val="nil"/>
          <w:right w:space="0" w:sz="0" w:val="nil"/>
          <w:between w:space="0" w:sz="0" w:val="nil"/>
        </w:pBdr>
        <w:ind w:left="360" w:hanging="360"/>
        <w:rPr>
          <w:rFonts w:ascii="Century Gothic" w:cs="Century Gothic" w:eastAsia="Century Gothic" w:hAnsi="Century Gothic"/>
          <w:b w:val="1"/>
          <w:color w:val="000000"/>
        </w:rPr>
      </w:pPr>
      <w:r w:rsidDel="00000000" w:rsidR="00000000" w:rsidRPr="00000000">
        <w:rPr>
          <w:rFonts w:ascii="Century Gothic" w:cs="Century Gothic" w:eastAsia="Century Gothic" w:hAnsi="Century Gothic"/>
          <w:b w:val="1"/>
          <w:color w:val="000000"/>
          <w:rtl w:val="0"/>
        </w:rPr>
        <w:t xml:space="preserve">POLICY</w:t>
      </w:r>
    </w:p>
    <w:p w:rsidR="00000000" w:rsidDel="00000000" w:rsidP="00000000" w:rsidRDefault="00000000" w:rsidRPr="00000000" w14:paraId="00000011">
      <w:pPr>
        <w:ind w:left="0" w:firstLine="360"/>
        <w:rPr>
          <w:rFonts w:ascii="Century Gothic" w:cs="Century Gothic" w:eastAsia="Century Gothic" w:hAnsi="Century Gothic"/>
          <w:b w:val="1"/>
          <w:color w:val="000000"/>
        </w:rPr>
      </w:pPr>
      <w:r w:rsidDel="00000000" w:rsidR="00000000" w:rsidRPr="00000000">
        <w:rPr>
          <w:rFonts w:ascii="Century Gothic" w:cs="Century Gothic" w:eastAsia="Century Gothic" w:hAnsi="Century Gothic"/>
          <w:b w:val="1"/>
          <w:rtl w:val="0"/>
        </w:rPr>
        <w:t xml:space="preserve">Principals </w:t>
      </w:r>
      <w:r w:rsidDel="00000000" w:rsidR="00000000" w:rsidRPr="00000000">
        <w:rPr>
          <w:rFonts w:ascii="Century Gothic" w:cs="Century Gothic" w:eastAsia="Century Gothic" w:hAnsi="Century Gothic"/>
          <w:rtl w:val="0"/>
        </w:rPr>
        <w:t xml:space="preserve">have a responsibility to</w:t>
      </w:r>
      <w:r w:rsidDel="00000000" w:rsidR="00000000" w:rsidRPr="00000000">
        <w:rPr>
          <w:rFonts w:ascii="Century Gothic" w:cs="Century Gothic" w:eastAsia="Century Gothic" w:hAnsi="Century Gothic"/>
          <w:b w:val="1"/>
          <w:rtl w:val="0"/>
        </w:rPr>
        <w:t xml:space="preserve">:</w:t>
      </w:r>
      <w:r w:rsidDel="00000000" w:rsidR="00000000" w:rsidRPr="00000000">
        <w:rPr>
          <w:rtl w:val="0"/>
        </w:rPr>
      </w:r>
    </w:p>
    <w:p w:rsidR="00000000" w:rsidDel="00000000" w:rsidP="00000000" w:rsidRDefault="00000000" w:rsidRPr="00000000" w14:paraId="00000012">
      <w:pPr>
        <w:numPr>
          <w:ilvl w:val="0"/>
          <w:numId w:val="3"/>
        </w:numPr>
        <w:spacing w:after="0" w:before="120" w:line="240"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Approve the use of an external provider.</w:t>
      </w:r>
    </w:p>
    <w:p w:rsidR="00000000" w:rsidDel="00000000" w:rsidP="00000000" w:rsidRDefault="00000000" w:rsidRPr="00000000" w14:paraId="00000013">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Consider the School Strategic Plan and overall benefit for students when deciding to engage an external provider.</w:t>
      </w:r>
    </w:p>
    <w:p w:rsidR="00000000" w:rsidDel="00000000" w:rsidP="00000000" w:rsidRDefault="00000000" w:rsidRPr="00000000" w14:paraId="00000014">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external providers have an understanding of current practice, approaches and research.</w:t>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external providers have well-established and acceptable positions on particular issues that are consistent with the values promoted by the school, including socioeconomic, cultural and/or religious considerations.</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Work with the School Council to determine the suitability of engaging the provider (where applicable).</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Confirm budget availability (where applicable).</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the external provider has the professional qualifications and/or experience to deliver the service and meet all necessary legal and safety requirements.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the external provider presents a copy of a valid Working with Children Check or Victorian Institute Teacher Registration.</w:t>
      </w:r>
    </w:p>
    <w:p w:rsidR="00000000" w:rsidDel="00000000" w:rsidP="00000000" w:rsidRDefault="00000000" w:rsidRPr="00000000" w14:paraId="0000001A">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the Visitors Register is signed by external providers upon entering and leaving the school.</w:t>
      </w:r>
    </w:p>
    <w:p w:rsidR="00000000" w:rsidDel="00000000" w:rsidP="00000000" w:rsidRDefault="00000000" w:rsidRPr="00000000" w14:paraId="0000001B">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that the external provider is adequately inducted into school protocols and signs the Child Safe Standards Code of Conduct when working with students.</w:t>
      </w:r>
    </w:p>
    <w:p w:rsidR="00000000" w:rsidDel="00000000" w:rsidP="00000000" w:rsidRDefault="00000000" w:rsidRPr="00000000" w14:paraId="0000001C">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that the school’s supervision arrangements are adequate which may include a school staff member providing ‘line of sight’.</w:t>
      </w:r>
    </w:p>
    <w:p w:rsidR="00000000" w:rsidDel="00000000" w:rsidP="00000000" w:rsidRDefault="00000000" w:rsidRPr="00000000" w14:paraId="0000001D">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that teachers/relevant members of staff have an understanding of the services being provided and their role in delivery.</w:t>
      </w:r>
    </w:p>
    <w:p w:rsidR="00000000" w:rsidDel="00000000" w:rsidP="00000000" w:rsidRDefault="00000000" w:rsidRPr="00000000" w14:paraId="0000001E">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students attending programs offered by external providers have prior written consent of their parents/guardians.</w:t>
      </w:r>
    </w:p>
    <w:p w:rsidR="00000000" w:rsidDel="00000000" w:rsidP="00000000" w:rsidRDefault="00000000" w:rsidRPr="00000000" w14:paraId="0000001F">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a risk assessment and management plan is in place (where appropriate).</w:t>
      </w:r>
    </w:p>
    <w:p w:rsidR="00000000" w:rsidDel="00000000" w:rsidP="00000000" w:rsidRDefault="00000000" w:rsidRPr="00000000" w14:paraId="00000020">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Consider a request from a parent/guardian for an NDIS funded service to be delivered on school grounds during the school day on a case-by-case basis. The principals ‘duty of care ‘obligations, including safety, privacy and educational needs and priorities of all students will be considered in any decision.</w:t>
      </w:r>
    </w:p>
    <w:p w:rsidR="00000000" w:rsidDel="00000000" w:rsidP="00000000" w:rsidRDefault="00000000" w:rsidRPr="00000000" w14:paraId="00000021">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Delegate to the school Allied Health Assistant, the responsibility to co-ordinate the work of external Allied Health providers on-site.</w:t>
      </w:r>
    </w:p>
    <w:p w:rsidR="00000000" w:rsidDel="00000000" w:rsidP="00000000" w:rsidRDefault="00000000" w:rsidRPr="00000000" w14:paraId="00000022">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Inform parents that a written agreement exists between the school and the external provider for the specific programs, and that the staff have the necessary qualifications and safety checks.</w:t>
      </w:r>
    </w:p>
    <w:p w:rsidR="00000000" w:rsidDel="00000000" w:rsidP="00000000" w:rsidRDefault="00000000" w:rsidRPr="00000000" w14:paraId="00000023">
      <w:pPr>
        <w:numPr>
          <w:ilvl w:val="0"/>
          <w:numId w:val="3"/>
        </w:numPr>
        <w:pBdr>
          <w:top w:space="0" w:sz="0" w:val="nil"/>
          <w:left w:space="0" w:sz="0" w:val="nil"/>
          <w:bottom w:space="0" w:sz="0" w:val="nil"/>
          <w:right w:space="0" w:sz="0" w:val="nil"/>
          <w:between w:space="0" w:sz="0" w:val="nil"/>
        </w:pBdr>
        <w:spacing w:after="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professional indemnity, public liability, building and contents and any other necessary insurance to cover the needs of programs offered by external providers is met by the provider.</w:t>
      </w:r>
    </w:p>
    <w:p w:rsidR="00000000" w:rsidDel="00000000" w:rsidP="00000000" w:rsidRDefault="00000000" w:rsidRPr="00000000" w14:paraId="00000024">
      <w:pPr>
        <w:numPr>
          <w:ilvl w:val="0"/>
          <w:numId w:val="3"/>
        </w:numPr>
        <w:pBdr>
          <w:top w:space="0" w:sz="0" w:val="nil"/>
          <w:left w:space="0" w:sz="0" w:val="nil"/>
          <w:bottom w:space="0" w:sz="0" w:val="nil"/>
          <w:right w:space="0" w:sz="0" w:val="nil"/>
          <w:between w:space="0" w:sz="0" w:val="nil"/>
        </w:pBdr>
        <w:spacing w:after="160" w:line="259" w:lineRule="auto"/>
        <w:ind w:left="785"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Report allegations of ‘Reportable Conduct by external providers, including NDIS Therapists to the Commission for Children and Young People. </w:t>
      </w:r>
    </w:p>
    <w:p w:rsidR="00000000" w:rsidDel="00000000" w:rsidP="00000000" w:rsidRDefault="00000000" w:rsidRPr="00000000" w14:paraId="00000025">
      <w:pPr>
        <w:ind w:left="0" w:firstLine="360"/>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Teachers </w:t>
      </w:r>
      <w:r w:rsidDel="00000000" w:rsidR="00000000" w:rsidRPr="00000000">
        <w:rPr>
          <w:rFonts w:ascii="Century Gothic" w:cs="Century Gothic" w:eastAsia="Century Gothic" w:hAnsi="Century Gothic"/>
          <w:rtl w:val="0"/>
        </w:rPr>
        <w:t xml:space="preserve">have responsibility to:</w:t>
      </w:r>
      <w:r w:rsidDel="00000000" w:rsidR="00000000" w:rsidRPr="00000000">
        <w:rPr>
          <w:rtl w:val="0"/>
        </w:rPr>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spacing w:after="0" w:before="120" w:line="240"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Seek the approval of the principal or their delegate when engaging an external provider.</w:t>
      </w:r>
    </w:p>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spacing w:after="0" w:line="240"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Identify the relevant links between the service provided and curriculum priorities.</w:t>
      </w:r>
    </w:p>
    <w:p w:rsidR="00000000" w:rsidDel="00000000" w:rsidP="00000000" w:rsidRDefault="00000000" w:rsidRPr="00000000" w14:paraId="00000028">
      <w:pPr>
        <w:numPr>
          <w:ilvl w:val="0"/>
          <w:numId w:val="2"/>
        </w:numPr>
        <w:pBdr>
          <w:top w:space="0" w:sz="0" w:val="nil"/>
          <w:left w:space="0" w:sz="0" w:val="nil"/>
          <w:bottom w:space="0" w:sz="0" w:val="nil"/>
          <w:right w:space="0" w:sz="0" w:val="nil"/>
          <w:between w:space="0" w:sz="0" w:val="nil"/>
        </w:pBdr>
        <w:spacing w:after="0" w:line="240"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Understand the service being provided through working with the provider to add value and depth to existing teaching and learning programs.</w:t>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spacing w:after="0" w:line="240"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Ensure that the material to be delivered is appropriate for the age and developmental stage of students.</w:t>
      </w:r>
    </w:p>
    <w:p w:rsidR="00000000" w:rsidDel="00000000" w:rsidP="00000000" w:rsidRDefault="00000000" w:rsidRPr="00000000" w14:paraId="0000002A">
      <w:pPr>
        <w:numPr>
          <w:ilvl w:val="0"/>
          <w:numId w:val="2"/>
        </w:numPr>
        <w:pBdr>
          <w:top w:space="0" w:sz="0" w:val="nil"/>
          <w:left w:space="0" w:sz="0" w:val="nil"/>
          <w:bottom w:space="0" w:sz="0" w:val="nil"/>
          <w:right w:space="0" w:sz="0" w:val="nil"/>
          <w:between w:space="0" w:sz="0" w:val="nil"/>
        </w:pBdr>
        <w:spacing w:after="0" w:line="240"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Understand their obligations, particularly in regard to ensuring adequate supervision and that student wellbeing and safety concerns are clearly defined and managed. </w:t>
      </w:r>
    </w:p>
    <w:p w:rsidR="00000000" w:rsidDel="00000000" w:rsidP="00000000" w:rsidRDefault="00000000" w:rsidRPr="00000000" w14:paraId="0000002B">
      <w:pPr>
        <w:numPr>
          <w:ilvl w:val="0"/>
          <w:numId w:val="2"/>
        </w:numPr>
        <w:pBdr>
          <w:top w:space="0" w:sz="0" w:val="nil"/>
          <w:left w:space="0" w:sz="0" w:val="nil"/>
          <w:bottom w:space="0" w:sz="0" w:val="nil"/>
          <w:right w:space="0" w:sz="0" w:val="nil"/>
          <w:between w:space="0" w:sz="0" w:val="nil"/>
        </w:pBdr>
        <w:spacing w:after="0" w:line="240" w:lineRule="auto"/>
        <w:ind w:left="720" w:hanging="360"/>
        <w:rPr>
          <w:rFonts w:ascii="Century Gothic" w:cs="Century Gothic" w:eastAsia="Century Gothic" w:hAnsi="Century Gothic"/>
          <w:color w:val="000000"/>
          <w:sz w:val="22"/>
          <w:szCs w:val="22"/>
        </w:rPr>
      </w:pPr>
      <w:r w:rsidDel="00000000" w:rsidR="00000000" w:rsidRPr="00000000">
        <w:rPr>
          <w:rFonts w:ascii="Century Gothic" w:cs="Century Gothic" w:eastAsia="Century Gothic" w:hAnsi="Century Gothic"/>
          <w:color w:val="000000"/>
          <w:rtl w:val="0"/>
        </w:rPr>
        <w:t xml:space="preserve">Ensure students attending programs offered by external providers only with the express prior written consent of their parents/guardians.</w:t>
      </w:r>
      <w:r w:rsidDel="00000000" w:rsidR="00000000" w:rsidRPr="00000000">
        <w:rPr>
          <w:rFonts w:ascii="Century Gothic" w:cs="Century Gothic" w:eastAsia="Century Gothic" w:hAnsi="Century Gothic"/>
          <w:color w:val="000000"/>
          <w:sz w:val="22"/>
          <w:szCs w:val="22"/>
          <w:rtl w:val="0"/>
        </w:rPr>
        <w:t xml:space="preserve"> </w:t>
        <w:br w:type="textWrapping"/>
      </w:r>
    </w:p>
    <w:p w:rsidR="00000000" w:rsidDel="00000000" w:rsidP="00000000" w:rsidRDefault="00000000" w:rsidRPr="00000000" w14:paraId="0000002C">
      <w:pPr>
        <w:ind w:left="0" w:firstLine="360"/>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Teacher Checklist: </w:t>
      </w:r>
    </w:p>
    <w:p w:rsidR="00000000" w:rsidDel="00000000" w:rsidP="00000000" w:rsidRDefault="00000000" w:rsidRPr="00000000" w14:paraId="0000002D">
      <w:pPr>
        <w:numPr>
          <w:ilvl w:val="0"/>
          <w:numId w:val="1"/>
        </w:numPr>
        <w:pBdr>
          <w:top w:space="0" w:sz="0" w:val="nil"/>
          <w:left w:space="0" w:sz="0" w:val="nil"/>
          <w:bottom w:space="0" w:sz="0" w:val="nil"/>
          <w:right w:space="0" w:sz="0" w:val="nil"/>
          <w:between w:space="0" w:sz="0" w:val="nil"/>
        </w:pBdr>
        <w:spacing w:after="0" w:line="259" w:lineRule="auto"/>
        <w:ind w:left="786"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Has a planning session with the presenter been conducted? </w:t>
      </w:r>
    </w:p>
    <w:p w:rsidR="00000000" w:rsidDel="00000000" w:rsidP="00000000" w:rsidRDefault="00000000" w:rsidRPr="00000000" w14:paraId="0000002E">
      <w:pPr>
        <w:numPr>
          <w:ilvl w:val="0"/>
          <w:numId w:val="1"/>
        </w:numPr>
        <w:pBdr>
          <w:top w:space="0" w:sz="0" w:val="nil"/>
          <w:left w:space="0" w:sz="0" w:val="nil"/>
          <w:bottom w:space="0" w:sz="0" w:val="nil"/>
          <w:right w:space="0" w:sz="0" w:val="nil"/>
          <w:between w:space="0" w:sz="0" w:val="nil"/>
        </w:pBdr>
        <w:spacing w:after="0" w:line="259" w:lineRule="auto"/>
        <w:ind w:left="786"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Can people within the school provide a similar service? </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pacing w:after="0" w:line="259" w:lineRule="auto"/>
        <w:ind w:left="786"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Do you have the support of the Principal, the staff and the relevant committees? </w:t>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spacing w:after="0" w:line="259" w:lineRule="auto"/>
        <w:ind w:left="786"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Have parents/guardians been consulted? </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after="0" w:line="259" w:lineRule="auto"/>
        <w:ind w:left="786"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Have the age and developmental level of the students, the content and the resources been considered? </w:t>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spacing w:after="0" w:line="259" w:lineRule="auto"/>
        <w:ind w:left="786"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Will feedback be given to the provider? </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pacing w:after="0" w:line="259" w:lineRule="auto"/>
        <w:ind w:left="786"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What are the costs? </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pacing w:after="160" w:line="259" w:lineRule="auto"/>
        <w:ind w:left="786"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What are the supervision arrangements?</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360" w:lineRule="auto"/>
        <w:ind w:left="0" w:firstLine="360"/>
        <w:rPr>
          <w:rFonts w:ascii="Century Gothic" w:cs="Century Gothic" w:eastAsia="Century Gothic" w:hAnsi="Century Gothic"/>
          <w:b w:val="1"/>
          <w:color w:val="000000"/>
        </w:rPr>
      </w:pPr>
      <w:r w:rsidDel="00000000" w:rsidR="00000000" w:rsidRPr="00000000">
        <w:rPr>
          <w:rFonts w:ascii="Century Gothic" w:cs="Century Gothic" w:eastAsia="Century Gothic" w:hAnsi="Century Gothic"/>
          <w:b w:val="1"/>
          <w:color w:val="000000"/>
          <w:rtl w:val="0"/>
        </w:rPr>
        <w:t xml:space="preserve">The External Provider </w:t>
      </w:r>
      <w:r w:rsidDel="00000000" w:rsidR="00000000" w:rsidRPr="00000000">
        <w:rPr>
          <w:rFonts w:ascii="Century Gothic" w:cs="Century Gothic" w:eastAsia="Century Gothic" w:hAnsi="Century Gothic"/>
          <w:color w:val="000000"/>
          <w:rtl w:val="0"/>
        </w:rPr>
        <w:t xml:space="preserve">will:-</w:t>
      </w:r>
      <w:r w:rsidDel="00000000" w:rsidR="00000000" w:rsidRPr="00000000">
        <w:rPr>
          <w:rtl w:val="0"/>
        </w:rPr>
      </w:r>
    </w:p>
    <w:p w:rsidR="00000000" w:rsidDel="00000000" w:rsidP="00000000" w:rsidRDefault="00000000" w:rsidRPr="00000000" w14:paraId="00000036">
      <w:pPr>
        <w:numPr>
          <w:ilvl w:val="0"/>
          <w:numId w:val="9"/>
        </w:numPr>
        <w:pBdr>
          <w:top w:space="0" w:sz="0" w:val="nil"/>
          <w:left w:space="0" w:sz="0" w:val="nil"/>
          <w:bottom w:space="0" w:sz="0" w:val="nil"/>
          <w:right w:space="0" w:sz="0" w:val="nil"/>
          <w:between w:space="0" w:sz="0" w:val="nil"/>
        </w:pBdr>
        <w:spacing w:after="0" w:line="259"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Be responsible for the care and supervision of the students whilst they are in receipt of services and this care and supervision includes, but is not limited to, services provided at the premises of the school.</w:t>
      </w:r>
    </w:p>
    <w:p w:rsidR="00000000" w:rsidDel="00000000" w:rsidP="00000000" w:rsidRDefault="00000000" w:rsidRPr="00000000" w14:paraId="00000037">
      <w:pPr>
        <w:numPr>
          <w:ilvl w:val="0"/>
          <w:numId w:val="9"/>
        </w:numPr>
        <w:pBdr>
          <w:top w:space="0" w:sz="0" w:val="nil"/>
          <w:left w:space="0" w:sz="0" w:val="nil"/>
          <w:bottom w:space="0" w:sz="0" w:val="nil"/>
          <w:right w:space="0" w:sz="0" w:val="nil"/>
          <w:between w:space="0" w:sz="0" w:val="nil"/>
        </w:pBdr>
        <w:spacing w:after="0" w:line="259"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Give careful consideration to the appropriateness of the service for students, recognising that their service must align with the curriculum and/or individual student health and wellbeing needs.</w:t>
      </w:r>
    </w:p>
    <w:p w:rsidR="00000000" w:rsidDel="00000000" w:rsidP="00000000" w:rsidRDefault="00000000" w:rsidRPr="00000000" w14:paraId="00000038">
      <w:pPr>
        <w:numPr>
          <w:ilvl w:val="0"/>
          <w:numId w:val="8"/>
        </w:numPr>
        <w:pBdr>
          <w:top w:space="0" w:sz="0" w:val="nil"/>
          <w:left w:space="0" w:sz="0" w:val="nil"/>
          <w:bottom w:space="0" w:sz="0" w:val="nil"/>
          <w:right w:space="0" w:sz="0" w:val="nil"/>
          <w:between w:space="0" w:sz="0" w:val="nil"/>
        </w:pBdr>
        <w:spacing w:after="0" w:line="240"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Be willing to modify the service delivery in consultation with the Principal or their delegate, if necessary.</w:t>
      </w:r>
    </w:p>
    <w:p w:rsidR="00000000" w:rsidDel="00000000" w:rsidP="00000000" w:rsidRDefault="00000000" w:rsidRPr="00000000" w14:paraId="00000039">
      <w:pPr>
        <w:numPr>
          <w:ilvl w:val="0"/>
          <w:numId w:val="8"/>
        </w:numPr>
        <w:pBdr>
          <w:top w:space="0" w:sz="0" w:val="nil"/>
          <w:left w:space="0" w:sz="0" w:val="nil"/>
          <w:bottom w:space="0" w:sz="0" w:val="nil"/>
          <w:right w:space="0" w:sz="0" w:val="nil"/>
          <w:between w:space="0" w:sz="0" w:val="nil"/>
        </w:pBdr>
        <w:spacing w:after="0" w:line="240"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Gain the approval of the Principal or their delegate prior to delivering their service, including providing all documentation requested.</w:t>
      </w:r>
    </w:p>
    <w:p w:rsidR="00000000" w:rsidDel="00000000" w:rsidP="00000000" w:rsidRDefault="00000000" w:rsidRPr="00000000" w14:paraId="0000003A">
      <w:pPr>
        <w:numPr>
          <w:ilvl w:val="0"/>
          <w:numId w:val="8"/>
        </w:numPr>
        <w:pBdr>
          <w:top w:space="0" w:sz="0" w:val="nil"/>
          <w:left w:space="0" w:sz="0" w:val="nil"/>
          <w:bottom w:space="0" w:sz="0" w:val="nil"/>
          <w:right w:space="0" w:sz="0" w:val="nil"/>
          <w:between w:space="0" w:sz="0" w:val="nil"/>
        </w:pBdr>
        <w:spacing w:after="0" w:line="240"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Follow any agreed reporting arrangements including alerting the school to any changes to program delivery.</w:t>
      </w:r>
    </w:p>
    <w:p w:rsidR="00000000" w:rsidDel="00000000" w:rsidP="00000000" w:rsidRDefault="00000000" w:rsidRPr="00000000" w14:paraId="0000003B">
      <w:pPr>
        <w:spacing w:after="0" w:before="120" w:line="240" w:lineRule="auto"/>
        <w:ind w:left="0" w:firstLine="360"/>
        <w:rPr>
          <w:rFonts w:ascii="Century Gothic" w:cs="Century Gothic" w:eastAsia="Century Gothic" w:hAnsi="Century Gothic"/>
          <w:color w:val="000000"/>
        </w:rPr>
      </w:pPr>
      <w:r w:rsidDel="00000000" w:rsidR="00000000" w:rsidRPr="00000000">
        <w:rPr>
          <w:rFonts w:ascii="Century Gothic" w:cs="Century Gothic" w:eastAsia="Century Gothic" w:hAnsi="Century Gothic"/>
          <w:b w:val="1"/>
          <w:color w:val="000000"/>
          <w:rtl w:val="0"/>
        </w:rPr>
        <w:t xml:space="preserve">Parents/Guardians</w:t>
      </w:r>
      <w:r w:rsidDel="00000000" w:rsidR="00000000" w:rsidRPr="00000000">
        <w:rPr>
          <w:rFonts w:ascii="Century Gothic" w:cs="Century Gothic" w:eastAsia="Century Gothic" w:hAnsi="Century Gothic"/>
          <w:color w:val="000000"/>
          <w:rtl w:val="0"/>
        </w:rPr>
        <w:t xml:space="preserve"> will:-</w:t>
      </w:r>
    </w:p>
    <w:p w:rsidR="00000000" w:rsidDel="00000000" w:rsidP="00000000" w:rsidRDefault="00000000" w:rsidRPr="00000000" w14:paraId="0000003C">
      <w:pPr>
        <w:numPr>
          <w:ilvl w:val="0"/>
          <w:numId w:val="10"/>
        </w:numPr>
        <w:pBdr>
          <w:top w:space="0" w:sz="0" w:val="nil"/>
          <w:left w:space="0" w:sz="0" w:val="nil"/>
          <w:bottom w:space="0" w:sz="0" w:val="nil"/>
          <w:right w:space="0" w:sz="0" w:val="nil"/>
          <w:between w:space="0" w:sz="0" w:val="nil"/>
        </w:pBdr>
        <w:spacing w:after="0" w:before="120" w:line="240"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Give written permission for students to attend programs with an external provider.</w:t>
      </w:r>
    </w:p>
    <w:p w:rsidR="00000000" w:rsidDel="00000000" w:rsidP="00000000" w:rsidRDefault="00000000" w:rsidRPr="00000000" w14:paraId="0000003D">
      <w:pPr>
        <w:numPr>
          <w:ilvl w:val="0"/>
          <w:numId w:val="10"/>
        </w:numPr>
        <w:pBdr>
          <w:top w:space="0" w:sz="0" w:val="nil"/>
          <w:left w:space="0" w:sz="0" w:val="nil"/>
          <w:bottom w:space="0" w:sz="0" w:val="nil"/>
          <w:right w:space="0" w:sz="0" w:val="nil"/>
          <w:between w:space="0" w:sz="0" w:val="nil"/>
        </w:pBdr>
        <w:spacing w:after="0" w:line="240"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Alert the school and external provider as to any concerns about student safety.</w:t>
      </w:r>
    </w:p>
    <w:p w:rsidR="00000000" w:rsidDel="00000000" w:rsidP="00000000" w:rsidRDefault="00000000" w:rsidRPr="00000000" w14:paraId="0000003E">
      <w:pPr>
        <w:numPr>
          <w:ilvl w:val="0"/>
          <w:numId w:val="10"/>
        </w:numPr>
        <w:pBdr>
          <w:top w:space="0" w:sz="0" w:val="nil"/>
          <w:left w:space="0" w:sz="0" w:val="nil"/>
          <w:bottom w:space="0" w:sz="0" w:val="nil"/>
          <w:right w:space="0" w:sz="0" w:val="nil"/>
          <w:between w:space="0" w:sz="0" w:val="nil"/>
        </w:pBdr>
        <w:spacing w:after="0" w:line="240" w:lineRule="auto"/>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Support students to comply with the rules and expectations determined in advance by the school and external provider when attending programs, including off-site.</w:t>
      </w:r>
    </w:p>
    <w:p w:rsidR="00000000" w:rsidDel="00000000" w:rsidP="00000000" w:rsidRDefault="00000000" w:rsidRPr="00000000" w14:paraId="0000003F">
      <w:pPr>
        <w:spacing w:after="0" w:before="120" w:line="240" w:lineRule="auto"/>
        <w:ind w:left="709" w:firstLine="360"/>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40">
      <w:pPr>
        <w:shd w:fill="ffffff" w:val="clear"/>
        <w:spacing w:after="300" w:lineRule="auto"/>
        <w:ind w:left="0" w:firstLine="360"/>
        <w:rPr>
          <w:rFonts w:ascii="Century Gothic" w:cs="Century Gothic" w:eastAsia="Century Gothic" w:hAnsi="Century Gothic"/>
          <w:b w:val="1"/>
          <w:color w:val="000000"/>
        </w:rPr>
      </w:pPr>
      <w:bookmarkStart w:colFirst="0" w:colLast="0" w:name="_heading=h.gjdgxs" w:id="0"/>
      <w:bookmarkEnd w:id="0"/>
      <w:r w:rsidDel="00000000" w:rsidR="00000000" w:rsidRPr="00000000">
        <w:rPr>
          <w:rFonts w:ascii="Century Gothic" w:cs="Century Gothic" w:eastAsia="Century Gothic" w:hAnsi="Century Gothic"/>
          <w:b w:val="1"/>
          <w:rtl w:val="0"/>
        </w:rPr>
        <w:t xml:space="preserve">Risk Assessment and Management</w:t>
        <w:br w:type="textWrapping"/>
      </w:r>
      <w:r w:rsidDel="00000000" w:rsidR="00000000" w:rsidRPr="00000000">
        <w:rPr>
          <w:rFonts w:ascii="Century Gothic" w:cs="Century Gothic" w:eastAsia="Century Gothic" w:hAnsi="Century Gothic"/>
          <w:rtl w:val="0"/>
        </w:rPr>
        <w:t xml:space="preserve">Contextual factors need to be considered when analysing the risk associated with a service. If significant risks are identified then a risk management plan, that is current and relevant to the service and the context, should be developed. All risk management documents must be lodged with the Principal.</w:t>
      </w:r>
      <w:r w:rsidDel="00000000" w:rsidR="00000000" w:rsidRPr="00000000">
        <w:rPr>
          <w:rtl w:val="0"/>
        </w:rPr>
      </w:r>
    </w:p>
    <w:p w:rsidR="00000000" w:rsidDel="00000000" w:rsidP="00000000" w:rsidRDefault="00000000" w:rsidRPr="00000000" w14:paraId="00000041">
      <w:pPr>
        <w:shd w:fill="ffffff" w:val="clear"/>
        <w:spacing w:after="0" w:lineRule="auto"/>
        <w:ind w:left="0" w:firstLine="360"/>
        <w:rPr>
          <w:rFonts w:ascii="Century Gothic" w:cs="Century Gothic" w:eastAsia="Century Gothic" w:hAnsi="Century Gothic"/>
          <w:b w:val="1"/>
          <w:color w:val="000000"/>
          <w:sz w:val="22"/>
          <w:szCs w:val="22"/>
        </w:rPr>
      </w:pPr>
      <w:r w:rsidDel="00000000" w:rsidR="00000000" w:rsidRPr="00000000">
        <w:rPr>
          <w:rFonts w:ascii="Century Gothic" w:cs="Century Gothic" w:eastAsia="Century Gothic" w:hAnsi="Century Gothic"/>
          <w:b w:val="1"/>
          <w:color w:val="000000"/>
          <w:sz w:val="22"/>
          <w:szCs w:val="22"/>
          <w:rtl w:val="0"/>
        </w:rPr>
        <w:t xml:space="preserve">FURTHER INFORMATION AND RESOURCES</w:t>
      </w:r>
    </w:p>
    <w:p w:rsidR="00000000" w:rsidDel="00000000" w:rsidP="00000000" w:rsidRDefault="00000000" w:rsidRPr="00000000" w14:paraId="00000042">
      <w:pPr>
        <w:shd w:fill="ffffff" w:val="clear"/>
        <w:spacing w:after="0" w:lineRule="auto"/>
        <w:ind w:left="0" w:firstLine="360"/>
        <w:rPr>
          <w:rFonts w:ascii="Century Gothic" w:cs="Century Gothic" w:eastAsia="Century Gothic" w:hAnsi="Century Gothic"/>
          <w:b w:val="1"/>
          <w:color w:val="000000"/>
          <w:sz w:val="10"/>
          <w:szCs w:val="10"/>
        </w:rPr>
      </w:pPr>
      <w:r w:rsidDel="00000000" w:rsidR="00000000" w:rsidRPr="00000000">
        <w:rPr>
          <w:rtl w:val="0"/>
        </w:rPr>
      </w:r>
    </w:p>
    <w:p w:rsidR="00000000" w:rsidDel="00000000" w:rsidP="00000000" w:rsidRDefault="00000000" w:rsidRPr="00000000" w14:paraId="00000043">
      <w:pPr>
        <w:numPr>
          <w:ilvl w:val="0"/>
          <w:numId w:val="6"/>
        </w:numPr>
        <w:pBdr>
          <w:top w:space="0" w:sz="0" w:val="nil"/>
          <w:left w:space="0" w:sz="0" w:val="nil"/>
          <w:bottom w:space="0" w:sz="0" w:val="nil"/>
          <w:right w:space="0" w:sz="0" w:val="nil"/>
          <w:between w:space="0" w:sz="0" w:val="nil"/>
        </w:pBdr>
        <w:spacing w:after="0" w:lineRule="auto"/>
        <w:ind w:left="770"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HVS Statement of Values and School Philosophy</w:t>
      </w:r>
    </w:p>
    <w:p w:rsidR="00000000" w:rsidDel="00000000" w:rsidP="00000000" w:rsidRDefault="00000000" w:rsidRPr="00000000" w14:paraId="00000044">
      <w:pPr>
        <w:numPr>
          <w:ilvl w:val="0"/>
          <w:numId w:val="6"/>
        </w:numPr>
        <w:pBdr>
          <w:top w:space="0" w:sz="0" w:val="nil"/>
          <w:left w:space="0" w:sz="0" w:val="nil"/>
          <w:bottom w:space="0" w:sz="0" w:val="nil"/>
          <w:right w:space="0" w:sz="0" w:val="nil"/>
          <w:between w:space="0" w:sz="0" w:val="nil"/>
        </w:pBdr>
        <w:spacing w:after="0" w:lineRule="auto"/>
        <w:ind w:left="770"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HVS Student Engagement and Wellbeing Policy</w:t>
      </w:r>
    </w:p>
    <w:p w:rsidR="00000000" w:rsidDel="00000000" w:rsidP="00000000" w:rsidRDefault="00000000" w:rsidRPr="00000000" w14:paraId="00000045">
      <w:pPr>
        <w:numPr>
          <w:ilvl w:val="0"/>
          <w:numId w:val="6"/>
        </w:numPr>
        <w:pBdr>
          <w:top w:space="0" w:sz="0" w:val="nil"/>
          <w:left w:space="0" w:sz="0" w:val="nil"/>
          <w:bottom w:space="0" w:sz="0" w:val="nil"/>
          <w:right w:space="0" w:sz="0" w:val="nil"/>
          <w:between w:space="0" w:sz="0" w:val="nil"/>
        </w:pBdr>
        <w:spacing w:after="0" w:lineRule="auto"/>
        <w:ind w:left="770"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HVS Inclusion and Diversity Policy</w:t>
      </w:r>
    </w:p>
    <w:p w:rsidR="00000000" w:rsidDel="00000000" w:rsidP="00000000" w:rsidRDefault="00000000" w:rsidRPr="00000000" w14:paraId="00000046">
      <w:pPr>
        <w:numPr>
          <w:ilvl w:val="0"/>
          <w:numId w:val="6"/>
        </w:numPr>
        <w:pBdr>
          <w:top w:space="0" w:sz="0" w:val="nil"/>
          <w:left w:space="0" w:sz="0" w:val="nil"/>
          <w:bottom w:space="0" w:sz="0" w:val="nil"/>
          <w:right w:space="0" w:sz="0" w:val="nil"/>
          <w:between w:space="0" w:sz="0" w:val="nil"/>
        </w:pBdr>
        <w:spacing w:after="0" w:lineRule="auto"/>
        <w:ind w:left="770"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HVS Visitors Policy</w:t>
      </w:r>
    </w:p>
    <w:p w:rsidR="00000000" w:rsidDel="00000000" w:rsidP="00000000" w:rsidRDefault="00000000" w:rsidRPr="00000000" w14:paraId="00000047">
      <w:pPr>
        <w:numPr>
          <w:ilvl w:val="0"/>
          <w:numId w:val="6"/>
        </w:numPr>
        <w:pBdr>
          <w:top w:space="0" w:sz="0" w:val="nil"/>
          <w:left w:space="0" w:sz="0" w:val="nil"/>
          <w:bottom w:space="0" w:sz="0" w:val="nil"/>
          <w:right w:space="0" w:sz="0" w:val="nil"/>
          <w:between w:space="0" w:sz="0" w:val="nil"/>
        </w:pBdr>
        <w:spacing w:after="0" w:lineRule="auto"/>
        <w:ind w:left="770"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HVS Volunteers Policy </w:t>
      </w:r>
    </w:p>
    <w:p w:rsidR="00000000" w:rsidDel="00000000" w:rsidP="00000000" w:rsidRDefault="00000000" w:rsidRPr="00000000" w14:paraId="00000048">
      <w:pPr>
        <w:numPr>
          <w:ilvl w:val="0"/>
          <w:numId w:val="6"/>
        </w:numPr>
        <w:pBdr>
          <w:top w:space="0" w:sz="0" w:val="nil"/>
          <w:left w:space="0" w:sz="0" w:val="nil"/>
          <w:bottom w:space="0" w:sz="0" w:val="nil"/>
          <w:right w:space="0" w:sz="0" w:val="nil"/>
          <w:between w:space="0" w:sz="0" w:val="nil"/>
        </w:pBdr>
        <w:spacing w:after="0" w:lineRule="auto"/>
        <w:ind w:left="770"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HVS Duty of Care Policy</w:t>
      </w:r>
    </w:p>
    <w:p w:rsidR="00000000" w:rsidDel="00000000" w:rsidP="00000000" w:rsidRDefault="00000000" w:rsidRPr="00000000" w14:paraId="00000049">
      <w:pPr>
        <w:numPr>
          <w:ilvl w:val="0"/>
          <w:numId w:val="6"/>
        </w:numPr>
        <w:pBdr>
          <w:top w:space="0" w:sz="0" w:val="nil"/>
          <w:left w:space="0" w:sz="0" w:val="nil"/>
          <w:bottom w:space="0" w:sz="0" w:val="nil"/>
          <w:right w:space="0" w:sz="0" w:val="nil"/>
          <w:between w:space="0" w:sz="0" w:val="nil"/>
        </w:pBdr>
        <w:spacing w:after="0" w:lineRule="auto"/>
        <w:ind w:left="770"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HVS Incursion Policy</w:t>
      </w:r>
    </w:p>
    <w:p w:rsidR="00000000" w:rsidDel="00000000" w:rsidP="00000000" w:rsidRDefault="00000000" w:rsidRPr="00000000" w14:paraId="0000004A">
      <w:pPr>
        <w:numPr>
          <w:ilvl w:val="0"/>
          <w:numId w:val="6"/>
        </w:numPr>
        <w:pBdr>
          <w:top w:space="0" w:sz="0" w:val="nil"/>
          <w:left w:space="0" w:sz="0" w:val="nil"/>
          <w:bottom w:space="0" w:sz="0" w:val="nil"/>
          <w:right w:space="0" w:sz="0" w:val="nil"/>
          <w:between w:space="0" w:sz="0" w:val="nil"/>
        </w:pBdr>
        <w:spacing w:after="0" w:lineRule="auto"/>
        <w:ind w:left="770"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HVS Commitment Statement to Child Safety </w:t>
      </w:r>
    </w:p>
    <w:p w:rsidR="00000000" w:rsidDel="00000000" w:rsidP="00000000" w:rsidRDefault="00000000" w:rsidRPr="00000000" w14:paraId="0000004B">
      <w:pPr>
        <w:numPr>
          <w:ilvl w:val="0"/>
          <w:numId w:val="6"/>
        </w:numPr>
        <w:pBdr>
          <w:top w:space="0" w:sz="0" w:val="nil"/>
          <w:left w:space="0" w:sz="0" w:val="nil"/>
          <w:bottom w:space="0" w:sz="0" w:val="nil"/>
          <w:right w:space="0" w:sz="0" w:val="nil"/>
          <w:between w:space="0" w:sz="0" w:val="nil"/>
        </w:pBdr>
        <w:spacing w:after="0" w:lineRule="auto"/>
        <w:ind w:left="770"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HVS Child Safe Policy</w:t>
      </w:r>
    </w:p>
    <w:p w:rsidR="00000000" w:rsidDel="00000000" w:rsidP="00000000" w:rsidRDefault="00000000" w:rsidRPr="00000000" w14:paraId="0000004C">
      <w:pPr>
        <w:numPr>
          <w:ilvl w:val="0"/>
          <w:numId w:val="6"/>
        </w:numPr>
        <w:pBdr>
          <w:top w:space="0" w:sz="0" w:val="nil"/>
          <w:left w:space="0" w:sz="0" w:val="nil"/>
          <w:bottom w:space="0" w:sz="0" w:val="nil"/>
          <w:right w:space="0" w:sz="0" w:val="nil"/>
          <w:between w:space="0" w:sz="0" w:val="nil"/>
        </w:pBdr>
        <w:spacing w:after="0" w:lineRule="auto"/>
        <w:ind w:left="770"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HVS Child Safe Code of Conduct</w:t>
      </w:r>
    </w:p>
    <w:p w:rsidR="00000000" w:rsidDel="00000000" w:rsidP="00000000" w:rsidRDefault="00000000" w:rsidRPr="00000000" w14:paraId="0000004D">
      <w:pPr>
        <w:numPr>
          <w:ilvl w:val="0"/>
          <w:numId w:val="6"/>
        </w:numPr>
        <w:pBdr>
          <w:top w:space="0" w:sz="0" w:val="nil"/>
          <w:left w:space="0" w:sz="0" w:val="nil"/>
          <w:bottom w:space="0" w:sz="0" w:val="nil"/>
          <w:right w:space="0" w:sz="0" w:val="nil"/>
          <w:between w:space="0" w:sz="0" w:val="nil"/>
        </w:pBdr>
        <w:spacing w:after="0" w:lineRule="auto"/>
        <w:ind w:left="770"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PROTECT: Child Safe Standards</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Rule="auto"/>
        <w:ind w:left="770" w:hanging="720"/>
        <w:rPr>
          <w:rFonts w:ascii="Century Gothic" w:cs="Century Gothic" w:eastAsia="Century Gothic" w:hAnsi="Century Gothic"/>
          <w:color w:val="000000"/>
        </w:rPr>
      </w:pPr>
      <w:hyperlink r:id="rId8">
        <w:r w:rsidDel="00000000" w:rsidR="00000000" w:rsidRPr="00000000">
          <w:rPr>
            <w:rFonts w:ascii="Century Gothic" w:cs="Century Gothic" w:eastAsia="Century Gothic" w:hAnsi="Century Gothic"/>
            <w:color w:val="0000ff"/>
            <w:u w:val="single"/>
            <w:rtl w:val="0"/>
          </w:rPr>
          <w:t xml:space="preserve">https://www.education.vic.gov.au/school/teachers/health/childprotection/Pages/default.aspx</w:t>
        </w:r>
      </w:hyperlink>
      <w:r w:rsidDel="00000000" w:rsidR="00000000" w:rsidRPr="00000000">
        <w:rPr>
          <w:rtl w:val="0"/>
        </w:rPr>
      </w:r>
    </w:p>
    <w:p w:rsidR="00000000" w:rsidDel="00000000" w:rsidP="00000000" w:rsidRDefault="00000000" w:rsidRPr="00000000" w14:paraId="0000004F">
      <w:pPr>
        <w:numPr>
          <w:ilvl w:val="0"/>
          <w:numId w:val="6"/>
        </w:numPr>
        <w:pBdr>
          <w:top w:space="0" w:sz="0" w:val="nil"/>
          <w:left w:space="0" w:sz="0" w:val="nil"/>
          <w:bottom w:space="0" w:sz="0" w:val="nil"/>
          <w:right w:space="0" w:sz="0" w:val="nil"/>
          <w:between w:space="0" w:sz="0" w:val="nil"/>
        </w:pBdr>
        <w:shd w:fill="ffffff" w:val="clear"/>
        <w:spacing w:after="0" w:lineRule="auto"/>
        <w:ind w:left="77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Reportable Conduct Scheme</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ffffff" w:val="clear"/>
        <w:spacing w:after="0" w:lineRule="auto"/>
        <w:ind w:left="770" w:hanging="720"/>
        <w:rPr>
          <w:rFonts w:ascii="Century Gothic" w:cs="Century Gothic" w:eastAsia="Century Gothic" w:hAnsi="Century Gothic"/>
          <w:color w:val="000000"/>
        </w:rPr>
      </w:pPr>
      <w:hyperlink r:id="rId9">
        <w:r w:rsidDel="00000000" w:rsidR="00000000" w:rsidRPr="00000000">
          <w:rPr>
            <w:rFonts w:ascii="Century Gothic" w:cs="Century Gothic" w:eastAsia="Century Gothic" w:hAnsi="Century Gothic"/>
            <w:color w:val="0000ff"/>
            <w:u w:val="single"/>
            <w:rtl w:val="0"/>
          </w:rPr>
          <w:t xml:space="preserve">http://ccyp.vic.gov.au/child-safety/resources/guides-and-information-sheets#TOC-6</w:t>
        </w:r>
      </w:hyperlink>
      <w:r w:rsidDel="00000000" w:rsidR="00000000" w:rsidRPr="00000000">
        <w:rPr>
          <w:rtl w:val="0"/>
        </w:rPr>
      </w:r>
    </w:p>
    <w:p w:rsidR="00000000" w:rsidDel="00000000" w:rsidP="00000000" w:rsidRDefault="00000000" w:rsidRPr="00000000" w14:paraId="00000051">
      <w:pPr>
        <w:numPr>
          <w:ilvl w:val="0"/>
          <w:numId w:val="7"/>
        </w:numPr>
        <w:pBdr>
          <w:top w:space="0" w:sz="0" w:val="nil"/>
          <w:left w:space="0" w:sz="0" w:val="nil"/>
          <w:bottom w:space="0" w:sz="0" w:val="nil"/>
          <w:right w:space="0" w:sz="0" w:val="nil"/>
          <w:between w:space="0" w:sz="0" w:val="nil"/>
        </w:pBdr>
        <w:spacing w:after="0" w:lineRule="auto"/>
        <w:ind w:left="762" w:hanging="360"/>
        <w:jc w:val="both"/>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DET : Student Re-engagement Guideines and Contract Template </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Rule="auto"/>
        <w:ind w:left="762" w:hanging="720"/>
        <w:jc w:val="both"/>
        <w:rPr>
          <w:rFonts w:ascii="Century Gothic" w:cs="Century Gothic" w:eastAsia="Century Gothic" w:hAnsi="Century Gothic"/>
          <w:color w:val="000000"/>
          <w:sz w:val="18"/>
          <w:szCs w:val="18"/>
        </w:rPr>
      </w:pPr>
      <w:hyperlink r:id="rId10">
        <w:r w:rsidDel="00000000" w:rsidR="00000000" w:rsidRPr="00000000">
          <w:rPr>
            <w:rFonts w:ascii="Century Gothic" w:cs="Century Gothic" w:eastAsia="Century Gothic" w:hAnsi="Century Gothic"/>
            <w:color w:val="0000ff"/>
            <w:sz w:val="18"/>
            <w:szCs w:val="18"/>
            <w:u w:val="single"/>
            <w:rtl w:val="0"/>
          </w:rPr>
          <w:t xml:space="preserve">https://www.education.vic.gov.au/school/teachers/behaviour/engagement/Pages/reengagement.aspx</w:t>
        </w:r>
      </w:hyperlink>
      <w:r w:rsidDel="00000000" w:rsidR="00000000" w:rsidRPr="00000000">
        <w:rPr>
          <w:rtl w:val="0"/>
        </w:rPr>
      </w:r>
    </w:p>
    <w:p w:rsidR="00000000" w:rsidDel="00000000" w:rsidP="00000000" w:rsidRDefault="00000000" w:rsidRPr="00000000" w14:paraId="00000053">
      <w:pPr>
        <w:numPr>
          <w:ilvl w:val="0"/>
          <w:numId w:val="6"/>
        </w:numPr>
        <w:pBdr>
          <w:top w:space="0" w:sz="0" w:val="nil"/>
          <w:left w:space="0" w:sz="0" w:val="nil"/>
          <w:bottom w:space="0" w:sz="0" w:val="nil"/>
          <w:right w:space="0" w:sz="0" w:val="nil"/>
          <w:between w:space="0" w:sz="0" w:val="nil"/>
        </w:pBdr>
        <w:spacing w:after="0" w:lineRule="auto"/>
        <w:ind w:left="77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DET: NDIS Funded Therapy in Schools</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Rule="auto"/>
        <w:ind w:left="770" w:hanging="720"/>
        <w:rPr>
          <w:rFonts w:ascii="Century Gothic" w:cs="Century Gothic" w:eastAsia="Century Gothic" w:hAnsi="Century Gothic"/>
          <w:color w:val="000000"/>
          <w:sz w:val="18"/>
          <w:szCs w:val="18"/>
        </w:rPr>
      </w:pPr>
      <w:hyperlink r:id="rId11">
        <w:r w:rsidDel="00000000" w:rsidR="00000000" w:rsidRPr="00000000">
          <w:rPr>
            <w:rFonts w:ascii="Century Gothic" w:cs="Century Gothic" w:eastAsia="Century Gothic" w:hAnsi="Century Gothic"/>
            <w:color w:val="0000ff"/>
            <w:sz w:val="18"/>
            <w:szCs w:val="18"/>
            <w:u w:val="single"/>
            <w:rtl w:val="0"/>
          </w:rPr>
          <w:t xml:space="preserve">https://www.education.vic.gov.au/school/teachers/learningneeds/Pages/ndisfundedtherapy.aspx</w:t>
        </w:r>
      </w:hyperlink>
      <w:r w:rsidDel="00000000" w:rsidR="00000000" w:rsidRPr="00000000">
        <w:rPr>
          <w:rtl w:val="0"/>
        </w:rPr>
      </w:r>
    </w:p>
    <w:p w:rsidR="00000000" w:rsidDel="00000000" w:rsidP="00000000" w:rsidRDefault="00000000" w:rsidRPr="00000000" w14:paraId="00000055">
      <w:pPr>
        <w:numPr>
          <w:ilvl w:val="0"/>
          <w:numId w:val="6"/>
        </w:numPr>
        <w:pBdr>
          <w:top w:space="0" w:sz="0" w:val="nil"/>
          <w:left w:space="0" w:sz="0" w:val="nil"/>
          <w:bottom w:space="0" w:sz="0" w:val="nil"/>
          <w:right w:space="0" w:sz="0" w:val="nil"/>
          <w:between w:space="0" w:sz="0" w:val="nil"/>
        </w:pBdr>
        <w:spacing w:after="160" w:lineRule="auto"/>
        <w:ind w:left="770" w:hanging="36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color w:val="000000"/>
          <w:rtl w:val="0"/>
        </w:rPr>
        <w:t xml:space="preserve">DET: </w:t>
      </w:r>
      <w:hyperlink r:id="rId12">
        <w:r w:rsidDel="00000000" w:rsidR="00000000" w:rsidRPr="00000000">
          <w:rPr>
            <w:rFonts w:ascii="Century Gothic" w:cs="Century Gothic" w:eastAsia="Century Gothic" w:hAnsi="Century Gothic"/>
            <w:color w:val="0047a5"/>
            <w:highlight w:val="white"/>
            <w:u w:val="single"/>
            <w:rtl w:val="0"/>
          </w:rPr>
          <w:t xml:space="preserve">Guidelines for families, NDIS funded therapists and schools (docx - 291.17kb)</w:t>
        </w:r>
      </w:hyperlink>
      <w:r w:rsidDel="00000000" w:rsidR="00000000" w:rsidRPr="00000000">
        <w:rPr>
          <w:rtl w:val="0"/>
        </w:rPr>
      </w:r>
    </w:p>
    <w:p w:rsidR="00000000" w:rsidDel="00000000" w:rsidP="00000000" w:rsidRDefault="00000000" w:rsidRPr="00000000" w14:paraId="00000056">
      <w:pPr>
        <w:keepNext w:val="1"/>
        <w:numPr>
          <w:ilvl w:val="0"/>
          <w:numId w:val="4"/>
        </w:numPr>
        <w:pBdr>
          <w:top w:space="0" w:sz="0" w:val="nil"/>
          <w:left w:space="0" w:sz="0" w:val="nil"/>
          <w:bottom w:space="0" w:sz="0" w:val="nil"/>
          <w:right w:space="0" w:sz="0" w:val="nil"/>
          <w:between w:space="0" w:sz="0" w:val="nil"/>
        </w:pBdr>
        <w:ind w:left="360" w:hanging="360"/>
        <w:rPr>
          <w:rFonts w:ascii="Century Gothic" w:cs="Century Gothic" w:eastAsia="Century Gothic" w:hAnsi="Century Gothic"/>
          <w:b w:val="1"/>
          <w:color w:val="000000"/>
          <w:sz w:val="22"/>
          <w:szCs w:val="22"/>
        </w:rPr>
      </w:pPr>
      <w:r w:rsidDel="00000000" w:rsidR="00000000" w:rsidRPr="00000000">
        <w:rPr>
          <w:rFonts w:ascii="Century Gothic" w:cs="Century Gothic" w:eastAsia="Century Gothic" w:hAnsi="Century Gothic"/>
          <w:b w:val="1"/>
          <w:color w:val="000000"/>
          <w:sz w:val="22"/>
          <w:szCs w:val="22"/>
          <w:rtl w:val="0"/>
        </w:rPr>
        <w:t xml:space="preserve">EVALUATION </w:t>
      </w:r>
    </w:p>
    <w:p w:rsidR="00000000" w:rsidDel="00000000" w:rsidP="00000000" w:rsidRDefault="00000000" w:rsidRPr="00000000" w14:paraId="00000057">
      <w:pPr>
        <w:shd w:fill="ffffff" w:val="clear"/>
        <w:spacing w:after="300" w:lineRule="auto"/>
        <w:ind w:left="0" w:firstLine="360"/>
        <w:rPr>
          <w:rFonts w:ascii="Century Gothic" w:cs="Century Gothic" w:eastAsia="Century Gothic" w:hAnsi="Century Gothic"/>
        </w:rPr>
      </w:pPr>
      <w:bookmarkStart w:colFirst="0" w:colLast="0" w:name="_heading=h.30j0zll" w:id="1"/>
      <w:bookmarkEnd w:id="1"/>
      <w:r w:rsidDel="00000000" w:rsidR="00000000" w:rsidRPr="00000000">
        <w:rPr>
          <w:rFonts w:ascii="Century Gothic" w:cs="Century Gothic" w:eastAsia="Century Gothic" w:hAnsi="Century Gothic"/>
          <w:rtl w:val="0"/>
        </w:rPr>
        <w:t xml:space="preserve">A process for evaluating the provision and outcomes of the service should be in place.  This would involve reviewing the implementation and effectiveness of the service, including consultation, communication and collaboration prior, during, and after the service was delivered.  All stakeholders should have the opportunity to provide feedback, including students. </w:t>
      </w:r>
    </w:p>
    <w:p w:rsidR="00000000" w:rsidDel="00000000" w:rsidP="00000000" w:rsidRDefault="00000000" w:rsidRPr="00000000" w14:paraId="00000058">
      <w:pPr>
        <w:shd w:fill="ffffff" w:val="clear"/>
        <w:spacing w:after="300" w:lineRule="auto"/>
        <w:ind w:left="0" w:firstLine="360"/>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From time to time, schools may be requested by the external provider to evaluate their programs and services. If doing so, care should be taken not to be seen as openly endorsing a particular service provider. </w:t>
      </w:r>
    </w:p>
    <w:p w:rsidR="00000000" w:rsidDel="00000000" w:rsidP="00000000" w:rsidRDefault="00000000" w:rsidRPr="00000000" w14:paraId="00000059">
      <w:pPr>
        <w:keepNext w:val="1"/>
        <w:numPr>
          <w:ilvl w:val="0"/>
          <w:numId w:val="4"/>
        </w:numPr>
        <w:pBdr>
          <w:top w:space="0" w:sz="0" w:val="nil"/>
          <w:left w:space="0" w:sz="0" w:val="nil"/>
          <w:bottom w:space="0" w:sz="0" w:val="nil"/>
          <w:right w:space="0" w:sz="0" w:val="nil"/>
          <w:between w:space="0" w:sz="0" w:val="nil"/>
        </w:pBdr>
        <w:ind w:left="360" w:hanging="360"/>
        <w:rPr>
          <w:rFonts w:ascii="Century Gothic" w:cs="Century Gothic" w:eastAsia="Century Gothic" w:hAnsi="Century Gothic"/>
          <w:b w:val="1"/>
          <w:color w:val="000000"/>
          <w:sz w:val="22"/>
          <w:szCs w:val="22"/>
        </w:rPr>
      </w:pPr>
      <w:r w:rsidDel="00000000" w:rsidR="00000000" w:rsidRPr="00000000">
        <w:rPr>
          <w:rFonts w:ascii="Century Gothic" w:cs="Century Gothic" w:eastAsia="Century Gothic" w:hAnsi="Century Gothic"/>
          <w:b w:val="1"/>
          <w:color w:val="000000"/>
          <w:sz w:val="22"/>
          <w:szCs w:val="22"/>
          <w:rtl w:val="0"/>
        </w:rPr>
        <w:t xml:space="preserve">REVIEW CYCLE</w:t>
      </w:r>
    </w:p>
    <w:p w:rsidR="00000000" w:rsidDel="00000000" w:rsidP="00000000" w:rsidRDefault="00000000" w:rsidRPr="00000000" w14:paraId="0000005A">
      <w:pPr>
        <w:keepNext w:val="1"/>
        <w:numPr>
          <w:ilvl w:val="0"/>
          <w:numId w:val="5"/>
        </w:numPr>
        <w:pBdr>
          <w:top w:space="0" w:sz="0" w:val="nil"/>
          <w:left w:space="0" w:sz="0" w:val="nil"/>
          <w:bottom w:space="0" w:sz="0" w:val="nil"/>
          <w:right w:space="0" w:sz="0" w:val="nil"/>
          <w:between w:space="0" w:sz="0" w:val="nil"/>
        </w:pBdr>
        <w:ind w:left="720" w:hanging="360"/>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tl w:val="0"/>
        </w:rPr>
        <w:t xml:space="preserve">This policy will be reviewed as part of the school’s four yearly review cycle.</w:t>
      </w:r>
    </w:p>
    <w:p w:rsidR="00000000" w:rsidDel="00000000" w:rsidP="00000000" w:rsidRDefault="00000000" w:rsidRPr="00000000" w14:paraId="0000005B">
      <w:pPr>
        <w:keepNext w:val="1"/>
        <w:pBdr>
          <w:top w:space="0" w:sz="0" w:val="nil"/>
          <w:left w:space="0" w:sz="0" w:val="nil"/>
          <w:bottom w:space="0" w:sz="0" w:val="nil"/>
          <w:right w:space="0" w:sz="0" w:val="nil"/>
          <w:between w:space="0" w:sz="0" w:val="nil"/>
        </w:pBdr>
        <w:ind w:hanging="360"/>
        <w:rPr>
          <w:rFonts w:ascii="Century Gothic" w:cs="Century Gothic" w:eastAsia="Century Gothic" w:hAnsi="Century Gothic"/>
          <w:color w:val="000000"/>
        </w:rPr>
      </w:pPr>
      <w:r w:rsidDel="00000000" w:rsidR="00000000" w:rsidRPr="00000000">
        <w:rPr>
          <w:rtl w:val="0"/>
        </w:rPr>
      </w:r>
    </w:p>
    <w:p w:rsidR="00000000" w:rsidDel="00000000" w:rsidP="00000000" w:rsidRDefault="00000000" w:rsidRPr="00000000" w14:paraId="0000005C">
      <w:pPr>
        <w:keepNext w:val="1"/>
        <w:pBdr>
          <w:top w:color="000000" w:space="1" w:sz="4" w:val="single"/>
          <w:left w:color="000000" w:space="4" w:sz="4" w:val="single"/>
          <w:bottom w:color="000000" w:space="1" w:sz="4" w:val="single"/>
          <w:right w:color="000000" w:space="4" w:sz="4" w:val="single"/>
          <w:between w:space="0" w:sz="0" w:val="nil"/>
        </w:pBdr>
        <w:ind w:hanging="360"/>
        <w:jc w:val="center"/>
        <w:rPr>
          <w:rFonts w:ascii="Lato" w:cs="Lato" w:eastAsia="Lato" w:hAnsi="Lato"/>
          <w:color w:val="0000ff"/>
          <w:sz w:val="24"/>
          <w:szCs w:val="24"/>
          <w:u w:val="single"/>
        </w:rPr>
        <w:sectPr>
          <w:headerReference r:id="rId13" w:type="default"/>
          <w:headerReference r:id="rId14" w:type="first"/>
          <w:headerReference r:id="rId15" w:type="even"/>
          <w:footerReference r:id="rId16" w:type="default"/>
          <w:footerReference r:id="rId17" w:type="first"/>
          <w:footerReference r:id="rId18" w:type="even"/>
          <w:pgSz w:h="16838" w:w="11906" w:orient="portrait"/>
          <w:pgMar w:bottom="851" w:top="851" w:left="851" w:right="851" w:header="510" w:footer="397"/>
          <w:pgNumType w:start="1"/>
          <w:titlePg w:val="1"/>
        </w:sectPr>
      </w:pPr>
      <w:r w:rsidDel="00000000" w:rsidR="00000000" w:rsidRPr="00000000">
        <w:rPr>
          <w:rFonts w:ascii="Century Gothic" w:cs="Century Gothic" w:eastAsia="Century Gothic" w:hAnsi="Century Gothic"/>
          <w:b w:val="1"/>
          <w:color w:val="000000"/>
          <w:rtl w:val="0"/>
        </w:rPr>
        <w:t xml:space="preserve">This was reviewed and updated in September, 2019.</w:t>
        <w:br w:type="textWrapping"/>
        <w:t xml:space="preserve">Date for next review: </w:t>
      </w:r>
      <w:r w:rsidDel="00000000" w:rsidR="00000000" w:rsidRPr="00000000">
        <w:rPr>
          <w:rFonts w:ascii="Century Gothic" w:cs="Century Gothic" w:eastAsia="Century Gothic" w:hAnsi="Century Gothic"/>
          <w:b w:val="1"/>
          <w:color w:val="000000"/>
          <w:highlight w:val="yellow"/>
          <w:rtl w:val="0"/>
        </w:rPr>
        <w:t xml:space="preserve">2023</w:t>
      </w: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ind w:left="0" w:firstLine="0"/>
        <w:rPr>
          <w:rFonts w:ascii="Century Gothic" w:cs="Century Gothic" w:eastAsia="Century Gothic" w:hAnsi="Century Gothic"/>
          <w:color w:val="000000"/>
        </w:rPr>
      </w:pPr>
      <w:r w:rsidDel="00000000" w:rsidR="00000000" w:rsidRPr="00000000">
        <w:rPr>
          <w:rtl w:val="0"/>
        </w:rPr>
      </w:r>
    </w:p>
    <w:sectPr>
      <w:headerReference r:id="rId19" w:type="default"/>
      <w:headerReference r:id="rId20" w:type="first"/>
      <w:footerReference r:id="rId21" w:type="default"/>
      <w:type w:val="nextPage"/>
      <w:pgSz w:h="16838" w:w="11906" w:orient="portrait"/>
      <w:pgMar w:bottom="1134" w:top="1134" w:left="1644" w:right="1134"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Times New Roman"/>
  <w:font w:name="Courier New"/>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pos="4680"/>
        <w:tab w:val="right" w:pos="9360"/>
      </w:tabs>
      <w:spacing w:after="0" w:line="240" w:lineRule="auto"/>
      <w:ind w:left="0" w:firstLine="360"/>
      <w:jc w:val="right"/>
      <w:rPr>
        <w:color w:val="548dd4"/>
      </w:rPr>
    </w:pPr>
    <w:r w:rsidDel="00000000" w:rsidR="00000000" w:rsidRPr="00000000">
      <w:rPr>
        <w:color w:val="548dd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pos="4680"/>
        <w:tab w:val="right" w:pos="9360"/>
      </w:tabs>
      <w:spacing w:after="0" w:line="240" w:lineRule="auto"/>
      <w:ind w:left="0" w:right="360" w:firstLine="360"/>
      <w:rPr>
        <w:color w:val="548dd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left" w:pos="-2410"/>
      </w:tabs>
      <w:spacing w:after="0" w:line="240" w:lineRule="auto"/>
      <w:ind w:left="0" w:firstLine="360"/>
      <w:rPr>
        <w:rFonts w:ascii="Lato" w:cs="Lato" w:eastAsia="Lato" w:hAnsi="Lato"/>
        <w:color w:val="548dd4"/>
        <w:sz w:val="16"/>
        <w:szCs w:val="16"/>
      </w:rPr>
    </w:pPr>
    <w:r w:rsidDel="00000000" w:rsidR="00000000" w:rsidRPr="00000000">
      <w:rPr>
        <w:rFonts w:ascii="Lato" w:cs="Lato" w:eastAsia="Lato" w:hAnsi="Lato"/>
        <w:color w:val="548dd4"/>
        <w:sz w:val="16"/>
        <w:szCs w:val="16"/>
        <w:rtl w:val="0"/>
      </w:rPr>
      <w:t xml:space="preserve">HVS Safety and Welfare of Students with External Providers Policy</w:t>
      <w:tab/>
      <w:tab/>
      <w:tab/>
      <w:tab/>
      <w:tab/>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pos="4680"/>
        <w:tab w:val="right" w:pos="9360"/>
      </w:tabs>
      <w:spacing w:after="0" w:line="240" w:lineRule="auto"/>
      <w:ind w:left="0" w:firstLine="360"/>
      <w:jc w:val="right"/>
      <w:rPr>
        <w:color w:val="548dd4"/>
      </w:rPr>
    </w:pPr>
    <w:r w:rsidDel="00000000" w:rsidR="00000000" w:rsidRPr="00000000">
      <w:rPr>
        <w:color w:val="548dd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left" w:pos="-2410"/>
      </w:tabs>
      <w:spacing w:after="0" w:line="240" w:lineRule="auto"/>
      <w:ind w:left="0" w:right="360" w:firstLine="360"/>
      <w:rPr>
        <w:color w:val="548dd4"/>
      </w:rPr>
    </w:pPr>
    <w:r w:rsidDel="00000000" w:rsidR="00000000" w:rsidRPr="00000000">
      <w:rPr>
        <w:color w:val="548dd4"/>
        <w:rtl w:val="0"/>
      </w:rPr>
      <w:tab/>
      <w:tab/>
      <w:tab/>
      <w:tab/>
    </w:r>
    <w:r w:rsidDel="00000000" w:rsidR="00000000" w:rsidRPr="00000000">
      <w:rPr>
        <w:b w:val="1"/>
        <w:color w:val="548dd4"/>
        <w:sz w:val="24"/>
        <w:szCs w:val="24"/>
        <w:rtl w:val="0"/>
      </w:rPr>
      <w:tab/>
      <w:tab/>
      <w:tab/>
      <w:tab/>
      <w:tab/>
      <w:tab/>
      <w:tab/>
      <w:tab/>
      <w:tab/>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after="0" w:lineRule="auto"/>
      <w:ind w:left="0" w:firstLine="360"/>
      <w:rPr>
        <w:color w:val="548dd4"/>
      </w:rPr>
    </w:pPr>
    <w:r w:rsidDel="00000000" w:rsidR="00000000" w:rsidRPr="00000000">
      <w:rPr>
        <w:rtl w:val="0"/>
      </w:rPr>
    </w:r>
  </w:p>
  <w:tbl>
    <w:tblPr>
      <w:tblStyle w:val="Table1"/>
      <w:tblW w:w="10204.0" w:type="dxa"/>
      <w:jc w:val="left"/>
      <w:tblInd w:w="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963"/>
      <w:gridCol w:w="4241"/>
      <w:tblGridChange w:id="0">
        <w:tblGrid>
          <w:gridCol w:w="5963"/>
          <w:gridCol w:w="4241"/>
        </w:tblGrid>
      </w:tblGridChange>
    </w:tblGrid>
    <w:tr>
      <w:tc>
        <w:tcPr/>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pos="4680"/>
              <w:tab w:val="right" w:pos="9360"/>
            </w:tabs>
            <w:spacing w:after="0" w:line="240" w:lineRule="auto"/>
            <w:ind w:left="0" w:firstLine="360"/>
            <w:rPr>
              <w:color w:val="548dd4"/>
            </w:rPr>
          </w:pPr>
          <w:r w:rsidDel="00000000" w:rsidR="00000000" w:rsidRPr="00000000">
            <w:rPr>
              <w:color w:val="548dd4"/>
              <w:rtl w:val="0"/>
            </w:rPr>
            <w:t xml:space="preserve">HVS Safety and Welfare of Students with External Providers Policy</w:t>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pos="4680"/>
              <w:tab w:val="right" w:pos="9360"/>
            </w:tabs>
            <w:spacing w:after="0" w:line="240" w:lineRule="auto"/>
            <w:ind w:left="0" w:firstLine="360"/>
            <w:jc w:val="right"/>
            <w:rPr>
              <w:color w:val="548dd4"/>
            </w:rPr>
          </w:pPr>
          <w:r w:rsidDel="00000000" w:rsidR="00000000" w:rsidRPr="00000000">
            <w:rPr>
              <w:color w:val="548dd4"/>
              <w:rtl w:val="0"/>
            </w:rPr>
            <w:t xml:space="preserve">Page </w:t>
          </w:r>
          <w:r w:rsidDel="00000000" w:rsidR="00000000" w:rsidRPr="00000000">
            <w:rPr>
              <w:color w:val="548dd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center" w:pos="4680"/>
        <w:tab w:val="right" w:pos="9360"/>
      </w:tabs>
      <w:spacing w:after="0" w:line="240" w:lineRule="auto"/>
      <w:ind w:left="0" w:firstLine="360"/>
      <w:rPr>
        <w:color w:val="548dd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center" w:pos="4513"/>
        <w:tab w:val="right" w:pos="9026"/>
      </w:tabs>
      <w:spacing w:after="0" w:line="240" w:lineRule="auto"/>
      <w:ind w:left="0" w:hanging="360"/>
      <w:jc w:val="center"/>
      <w:rPr>
        <w:color w:val="000000"/>
        <w:sz w:val="16"/>
        <w:szCs w:val="16"/>
      </w:rPr>
    </w:pPr>
    <w:r w:rsidDel="00000000" w:rsidR="00000000" w:rsidRPr="00000000">
      <w:rPr>
        <w:rFonts w:ascii="Century Gothic" w:cs="Century Gothic" w:eastAsia="Century Gothic" w:hAnsi="Century Gothic"/>
        <w:color w:val="000000"/>
        <w:sz w:val="16"/>
        <w:szCs w:val="16"/>
        <w:rtl w:val="0"/>
      </w:rPr>
      <w:t xml:space="preserve">HVS has zero tolerance for any form of child abuse</w:t>
    </w:r>
    <w:r w:rsidDel="00000000" w:rsidR="00000000" w:rsidRPr="00000000">
      <w:rPr>
        <w:rtl w:val="0"/>
      </w:rPr>
    </w:r>
  </w:p>
  <w:p w:rsidR="00000000" w:rsidDel="00000000" w:rsidP="00000000" w:rsidRDefault="00000000" w:rsidRPr="00000000" w14:paraId="0000005F">
    <w:pPr>
      <w:spacing w:after="120" w:before="120" w:lineRule="auto"/>
      <w:ind w:left="-284" w:firstLine="360"/>
      <w:rPr>
        <w:b w:val="1"/>
        <w:color w:val="00286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center" w:pos="4513"/>
        <w:tab w:val="right" w:pos="9026"/>
      </w:tabs>
      <w:spacing w:after="0" w:line="240" w:lineRule="auto"/>
      <w:ind w:hanging="360"/>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center" w:pos="4513"/>
        <w:tab w:val="right" w:pos="9026"/>
      </w:tabs>
      <w:spacing w:after="0" w:line="240" w:lineRule="auto"/>
      <w:ind w:left="0" w:hanging="360"/>
      <w:jc w:val="center"/>
      <w:rPr>
        <w:color w:val="000000"/>
        <w:sz w:val="16"/>
        <w:szCs w:val="16"/>
      </w:rPr>
    </w:pPr>
    <w:r w:rsidDel="00000000" w:rsidR="00000000" w:rsidRPr="00000000">
      <w:rPr>
        <w:rFonts w:ascii="Century Gothic" w:cs="Century Gothic" w:eastAsia="Century Gothic" w:hAnsi="Century Gothic"/>
        <w:color w:val="000000"/>
        <w:sz w:val="16"/>
        <w:szCs w:val="16"/>
        <w:rtl w:val="0"/>
      </w:rPr>
      <w:t xml:space="preserve">HVS has zero tolerance for any form of child abuse</w:t>
    </w:r>
    <w:r w:rsidDel="00000000" w:rsidR="00000000" w:rsidRPr="00000000">
      <w:rPr>
        <w:rtl w:val="0"/>
      </w:rPr>
    </w:r>
  </w:p>
  <w:p w:rsidR="00000000" w:rsidDel="00000000" w:rsidP="00000000" w:rsidRDefault="00000000" w:rsidRPr="00000000" w14:paraId="00000062">
    <w:pPr>
      <w:tabs>
        <w:tab w:val="left" w:pos="8080"/>
      </w:tabs>
      <w:ind w:left="0" w:firstLine="360"/>
      <w:rPr>
        <w:color w:val="ffffff"/>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pos="4513"/>
        <w:tab w:val="right" w:pos="9026"/>
      </w:tabs>
      <w:spacing w:after="0" w:line="240" w:lineRule="auto"/>
      <w:ind w:left="0" w:hanging="360"/>
      <w:jc w:val="center"/>
      <w:rPr>
        <w:color w:val="000000"/>
        <w:sz w:val="16"/>
        <w:szCs w:val="16"/>
      </w:rPr>
    </w:pPr>
    <w:r w:rsidDel="00000000" w:rsidR="00000000" w:rsidRPr="00000000">
      <w:rPr>
        <w:rFonts w:ascii="Century Gothic" w:cs="Century Gothic" w:eastAsia="Century Gothic" w:hAnsi="Century Gothic"/>
        <w:color w:val="000000"/>
        <w:sz w:val="16"/>
        <w:szCs w:val="16"/>
        <w:rtl w:val="0"/>
      </w:rPr>
      <w:t xml:space="preserve">HVS has zero tolerance for any form of child abuse</w:t>
    </w: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pos="4513"/>
        <w:tab w:val="right" w:pos="9026"/>
      </w:tabs>
      <w:spacing w:after="0" w:line="240" w:lineRule="auto"/>
      <w:ind w:left="0" w:hanging="360"/>
      <w:jc w:val="center"/>
      <w:rPr>
        <w:color w:val="000000"/>
        <w:sz w:val="16"/>
        <w:szCs w:val="16"/>
      </w:rPr>
    </w:pPr>
    <w:r w:rsidDel="00000000" w:rsidR="00000000" w:rsidRPr="00000000">
      <w:rPr>
        <w:rFonts w:ascii="Century Gothic" w:cs="Century Gothic" w:eastAsia="Century Gothic" w:hAnsi="Century Gothic"/>
        <w:color w:val="000000"/>
        <w:sz w:val="16"/>
        <w:szCs w:val="16"/>
        <w:rtl w:val="0"/>
      </w:rPr>
      <w:t xml:space="preserve">HVS has zero tolerance for any form of child abuse</w:t>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pos="4513"/>
        <w:tab w:val="right" w:pos="9026"/>
      </w:tabs>
      <w:spacing w:after="0" w:line="240" w:lineRule="auto"/>
      <w:ind w:hanging="360"/>
      <w:rPr>
        <w:rFonts w:ascii="Century Gothic" w:cs="Century Gothic" w:eastAsia="Century Gothic" w:hAnsi="Century Gothic"/>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86" w:hanging="360.00000000000006"/>
      </w:pPr>
      <w:rPr>
        <w:rFonts w:ascii="Noto Sans Symbols" w:cs="Noto Sans Symbols" w:eastAsia="Noto Sans Symbols" w:hAnsi="Noto Sans Symbols"/>
      </w:rPr>
    </w:lvl>
    <w:lvl w:ilvl="1">
      <w:start w:val="1"/>
      <w:numFmt w:val="bullet"/>
      <w:lvlText w:val="o"/>
      <w:lvlJc w:val="left"/>
      <w:pPr>
        <w:ind w:left="1505" w:hanging="360"/>
      </w:pPr>
      <w:rPr>
        <w:rFonts w:ascii="Courier New" w:cs="Courier New" w:eastAsia="Courier New" w:hAnsi="Courier New"/>
      </w:rPr>
    </w:lvl>
    <w:lvl w:ilvl="2">
      <w:start w:val="1"/>
      <w:numFmt w:val="bullet"/>
      <w:lvlText w:val="▪"/>
      <w:lvlJc w:val="left"/>
      <w:pPr>
        <w:ind w:left="2225" w:hanging="360"/>
      </w:pPr>
      <w:rPr>
        <w:rFonts w:ascii="Noto Sans Symbols" w:cs="Noto Sans Symbols" w:eastAsia="Noto Sans Symbols" w:hAnsi="Noto Sans Symbols"/>
      </w:rPr>
    </w:lvl>
    <w:lvl w:ilvl="3">
      <w:start w:val="1"/>
      <w:numFmt w:val="bullet"/>
      <w:lvlText w:val="●"/>
      <w:lvlJc w:val="left"/>
      <w:pPr>
        <w:ind w:left="2945" w:hanging="360"/>
      </w:pPr>
      <w:rPr>
        <w:rFonts w:ascii="Noto Sans Symbols" w:cs="Noto Sans Symbols" w:eastAsia="Noto Sans Symbols" w:hAnsi="Noto Sans Symbols"/>
      </w:rPr>
    </w:lvl>
    <w:lvl w:ilvl="4">
      <w:start w:val="1"/>
      <w:numFmt w:val="bullet"/>
      <w:lvlText w:val="o"/>
      <w:lvlJc w:val="left"/>
      <w:pPr>
        <w:ind w:left="3665" w:hanging="360"/>
      </w:pPr>
      <w:rPr>
        <w:rFonts w:ascii="Courier New" w:cs="Courier New" w:eastAsia="Courier New" w:hAnsi="Courier New"/>
      </w:rPr>
    </w:lvl>
    <w:lvl w:ilvl="5">
      <w:start w:val="1"/>
      <w:numFmt w:val="bullet"/>
      <w:lvlText w:val="▪"/>
      <w:lvlJc w:val="left"/>
      <w:pPr>
        <w:ind w:left="4385" w:hanging="360"/>
      </w:pPr>
      <w:rPr>
        <w:rFonts w:ascii="Noto Sans Symbols" w:cs="Noto Sans Symbols" w:eastAsia="Noto Sans Symbols" w:hAnsi="Noto Sans Symbols"/>
      </w:rPr>
    </w:lvl>
    <w:lvl w:ilvl="6">
      <w:start w:val="1"/>
      <w:numFmt w:val="bullet"/>
      <w:lvlText w:val="●"/>
      <w:lvlJc w:val="left"/>
      <w:pPr>
        <w:ind w:left="5105" w:hanging="360"/>
      </w:pPr>
      <w:rPr>
        <w:rFonts w:ascii="Noto Sans Symbols" w:cs="Noto Sans Symbols" w:eastAsia="Noto Sans Symbols" w:hAnsi="Noto Sans Symbols"/>
      </w:rPr>
    </w:lvl>
    <w:lvl w:ilvl="7">
      <w:start w:val="1"/>
      <w:numFmt w:val="bullet"/>
      <w:lvlText w:val="o"/>
      <w:lvlJc w:val="left"/>
      <w:pPr>
        <w:ind w:left="5825" w:hanging="360"/>
      </w:pPr>
      <w:rPr>
        <w:rFonts w:ascii="Courier New" w:cs="Courier New" w:eastAsia="Courier New" w:hAnsi="Courier New"/>
      </w:rPr>
    </w:lvl>
    <w:lvl w:ilvl="8">
      <w:start w:val="1"/>
      <w:numFmt w:val="bullet"/>
      <w:lvlText w:val="▪"/>
      <w:lvlJc w:val="left"/>
      <w:pPr>
        <w:ind w:left="6545"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85" w:hanging="360"/>
      </w:pPr>
      <w:rPr>
        <w:rFonts w:ascii="Noto Sans Symbols" w:cs="Noto Sans Symbols" w:eastAsia="Noto Sans Symbols" w:hAnsi="Noto Sans Symbols"/>
      </w:rPr>
    </w:lvl>
    <w:lvl w:ilvl="1">
      <w:start w:val="1"/>
      <w:numFmt w:val="bullet"/>
      <w:lvlText w:val="o"/>
      <w:lvlJc w:val="left"/>
      <w:pPr>
        <w:ind w:left="1505" w:hanging="360"/>
      </w:pPr>
      <w:rPr>
        <w:rFonts w:ascii="Courier New" w:cs="Courier New" w:eastAsia="Courier New" w:hAnsi="Courier New"/>
      </w:rPr>
    </w:lvl>
    <w:lvl w:ilvl="2">
      <w:start w:val="1"/>
      <w:numFmt w:val="bullet"/>
      <w:lvlText w:val="▪"/>
      <w:lvlJc w:val="left"/>
      <w:pPr>
        <w:ind w:left="2225" w:hanging="360"/>
      </w:pPr>
      <w:rPr>
        <w:rFonts w:ascii="Noto Sans Symbols" w:cs="Noto Sans Symbols" w:eastAsia="Noto Sans Symbols" w:hAnsi="Noto Sans Symbols"/>
      </w:rPr>
    </w:lvl>
    <w:lvl w:ilvl="3">
      <w:start w:val="1"/>
      <w:numFmt w:val="bullet"/>
      <w:lvlText w:val="●"/>
      <w:lvlJc w:val="left"/>
      <w:pPr>
        <w:ind w:left="2945" w:hanging="360"/>
      </w:pPr>
      <w:rPr>
        <w:rFonts w:ascii="Noto Sans Symbols" w:cs="Noto Sans Symbols" w:eastAsia="Noto Sans Symbols" w:hAnsi="Noto Sans Symbols"/>
      </w:rPr>
    </w:lvl>
    <w:lvl w:ilvl="4">
      <w:start w:val="1"/>
      <w:numFmt w:val="bullet"/>
      <w:lvlText w:val="o"/>
      <w:lvlJc w:val="left"/>
      <w:pPr>
        <w:ind w:left="3665" w:hanging="360"/>
      </w:pPr>
      <w:rPr>
        <w:rFonts w:ascii="Courier New" w:cs="Courier New" w:eastAsia="Courier New" w:hAnsi="Courier New"/>
      </w:rPr>
    </w:lvl>
    <w:lvl w:ilvl="5">
      <w:start w:val="1"/>
      <w:numFmt w:val="bullet"/>
      <w:lvlText w:val="▪"/>
      <w:lvlJc w:val="left"/>
      <w:pPr>
        <w:ind w:left="4385" w:hanging="360"/>
      </w:pPr>
      <w:rPr>
        <w:rFonts w:ascii="Noto Sans Symbols" w:cs="Noto Sans Symbols" w:eastAsia="Noto Sans Symbols" w:hAnsi="Noto Sans Symbols"/>
      </w:rPr>
    </w:lvl>
    <w:lvl w:ilvl="6">
      <w:start w:val="1"/>
      <w:numFmt w:val="bullet"/>
      <w:lvlText w:val="●"/>
      <w:lvlJc w:val="left"/>
      <w:pPr>
        <w:ind w:left="5105" w:hanging="360"/>
      </w:pPr>
      <w:rPr>
        <w:rFonts w:ascii="Noto Sans Symbols" w:cs="Noto Sans Symbols" w:eastAsia="Noto Sans Symbols" w:hAnsi="Noto Sans Symbols"/>
      </w:rPr>
    </w:lvl>
    <w:lvl w:ilvl="7">
      <w:start w:val="1"/>
      <w:numFmt w:val="bullet"/>
      <w:lvlText w:val="o"/>
      <w:lvlJc w:val="left"/>
      <w:pPr>
        <w:ind w:left="5825" w:hanging="360"/>
      </w:pPr>
      <w:rPr>
        <w:rFonts w:ascii="Courier New" w:cs="Courier New" w:eastAsia="Courier New" w:hAnsi="Courier New"/>
      </w:rPr>
    </w:lvl>
    <w:lvl w:ilvl="8">
      <w:start w:val="1"/>
      <w:numFmt w:val="bullet"/>
      <w:lvlText w:val="▪"/>
      <w:lvlJc w:val="left"/>
      <w:pPr>
        <w:ind w:left="6545" w:hanging="360"/>
      </w:pPr>
      <w:rPr>
        <w:rFonts w:ascii="Noto Sans Symbols" w:cs="Noto Sans Symbols" w:eastAsia="Noto Sans Symbols" w:hAnsi="Noto Sans Symbols"/>
      </w:rPr>
    </w:lvl>
  </w:abstractNum>
  <w:abstractNum w:abstractNumId="4">
    <w:lvl w:ilvl="0">
      <w:start w:val="1"/>
      <w:numFmt w:val="decimal"/>
      <w:lvlText w:val="%1."/>
      <w:lvlJc w:val="left"/>
      <w:pPr>
        <w:ind w:left="360" w:hanging="360"/>
      </w:pPr>
      <w:rPr/>
    </w:lvl>
    <w:lvl w:ilvl="1">
      <w:start w:val="1"/>
      <w:numFmt w:val="lowerLetter"/>
      <w:lvlText w:val="%2."/>
      <w:lvlJc w:val="left"/>
      <w:pPr>
        <w:ind w:left="1440" w:hanging="360"/>
      </w:pPr>
      <w:rPr>
        <w:rFonts w:ascii="Century Gothic" w:cs="Century Gothic" w:eastAsia="Century Gothic" w:hAnsi="Century Gothic"/>
      </w:rPr>
    </w:lvl>
    <w:lvl w:ilvl="2">
      <w:start w:val="4"/>
      <w:numFmt w:val="bullet"/>
      <w:lvlText w:val="-"/>
      <w:lvlJc w:val="left"/>
      <w:pPr>
        <w:ind w:left="2340" w:hanging="360"/>
      </w:pPr>
      <w:rPr>
        <w:rFonts w:ascii="Century Gothic" w:cs="Century Gothic" w:eastAsia="Century Gothic" w:hAnsi="Century Gothic"/>
        <w:color w:val="c0504d"/>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abstractNum w:abstractNumId="7">
    <w:lvl w:ilvl="0">
      <w:start w:val="1"/>
      <w:numFmt w:val="bullet"/>
      <w:lvlText w:val="●"/>
      <w:lvlJc w:val="left"/>
      <w:pPr>
        <w:ind w:left="762" w:hanging="360"/>
      </w:pPr>
      <w:rPr>
        <w:rFonts w:ascii="Noto Sans Symbols" w:cs="Noto Sans Symbols" w:eastAsia="Noto Sans Symbols" w:hAnsi="Noto Sans Symbols"/>
      </w:rPr>
    </w:lvl>
    <w:lvl w:ilvl="1">
      <w:start w:val="1"/>
      <w:numFmt w:val="bullet"/>
      <w:lvlText w:val="o"/>
      <w:lvlJc w:val="left"/>
      <w:pPr>
        <w:ind w:left="1482" w:hanging="360"/>
      </w:pPr>
      <w:rPr>
        <w:rFonts w:ascii="Courier New" w:cs="Courier New" w:eastAsia="Courier New" w:hAnsi="Courier New"/>
      </w:rPr>
    </w:lvl>
    <w:lvl w:ilvl="2">
      <w:start w:val="1"/>
      <w:numFmt w:val="bullet"/>
      <w:lvlText w:val="▪"/>
      <w:lvlJc w:val="left"/>
      <w:pPr>
        <w:ind w:left="2202" w:hanging="360"/>
      </w:pPr>
      <w:rPr>
        <w:rFonts w:ascii="Noto Sans Symbols" w:cs="Noto Sans Symbols" w:eastAsia="Noto Sans Symbols" w:hAnsi="Noto Sans Symbols"/>
      </w:rPr>
    </w:lvl>
    <w:lvl w:ilvl="3">
      <w:start w:val="1"/>
      <w:numFmt w:val="bullet"/>
      <w:lvlText w:val="●"/>
      <w:lvlJc w:val="left"/>
      <w:pPr>
        <w:ind w:left="2922" w:hanging="360"/>
      </w:pPr>
      <w:rPr>
        <w:rFonts w:ascii="Noto Sans Symbols" w:cs="Noto Sans Symbols" w:eastAsia="Noto Sans Symbols" w:hAnsi="Noto Sans Symbols"/>
      </w:rPr>
    </w:lvl>
    <w:lvl w:ilvl="4">
      <w:start w:val="1"/>
      <w:numFmt w:val="bullet"/>
      <w:lvlText w:val="o"/>
      <w:lvlJc w:val="left"/>
      <w:pPr>
        <w:ind w:left="3642" w:hanging="360"/>
      </w:pPr>
      <w:rPr>
        <w:rFonts w:ascii="Courier New" w:cs="Courier New" w:eastAsia="Courier New" w:hAnsi="Courier New"/>
      </w:rPr>
    </w:lvl>
    <w:lvl w:ilvl="5">
      <w:start w:val="1"/>
      <w:numFmt w:val="bullet"/>
      <w:lvlText w:val="▪"/>
      <w:lvlJc w:val="left"/>
      <w:pPr>
        <w:ind w:left="4362" w:hanging="360"/>
      </w:pPr>
      <w:rPr>
        <w:rFonts w:ascii="Noto Sans Symbols" w:cs="Noto Sans Symbols" w:eastAsia="Noto Sans Symbols" w:hAnsi="Noto Sans Symbols"/>
      </w:rPr>
    </w:lvl>
    <w:lvl w:ilvl="6">
      <w:start w:val="1"/>
      <w:numFmt w:val="bullet"/>
      <w:lvlText w:val="●"/>
      <w:lvlJc w:val="left"/>
      <w:pPr>
        <w:ind w:left="5082" w:hanging="360"/>
      </w:pPr>
      <w:rPr>
        <w:rFonts w:ascii="Noto Sans Symbols" w:cs="Noto Sans Symbols" w:eastAsia="Noto Sans Symbols" w:hAnsi="Noto Sans Symbols"/>
      </w:rPr>
    </w:lvl>
    <w:lvl w:ilvl="7">
      <w:start w:val="1"/>
      <w:numFmt w:val="bullet"/>
      <w:lvlText w:val="o"/>
      <w:lvlJc w:val="left"/>
      <w:pPr>
        <w:ind w:left="5802" w:hanging="360"/>
      </w:pPr>
      <w:rPr>
        <w:rFonts w:ascii="Courier New" w:cs="Courier New" w:eastAsia="Courier New" w:hAnsi="Courier New"/>
      </w:rPr>
    </w:lvl>
    <w:lvl w:ilvl="8">
      <w:start w:val="1"/>
      <w:numFmt w:val="bullet"/>
      <w:lvlText w:val="▪"/>
      <w:lvlJc w:val="left"/>
      <w:pPr>
        <w:ind w:left="6522"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AU"/>
      </w:rPr>
    </w:rPrDefault>
    <w:pPrDefault>
      <w:pPr>
        <w:spacing w:after="240" w:line="276" w:lineRule="auto"/>
        <w:ind w:left="360"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tabs>
        <w:tab w:val="right" w:pos="9360"/>
      </w:tabs>
      <w:spacing w:after="0" w:before="240" w:lineRule="auto"/>
      <w:ind w:left="0"/>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160" w:lineRule="auto"/>
      <w:ind w:left="0"/>
    </w:pPr>
    <w:rPr>
      <w:rFonts w:ascii="Cambria" w:cs="Cambria" w:eastAsia="Cambria" w:hAnsi="Cambria"/>
      <w:color w:val="366091"/>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spacing w:before="240" w:line="240" w:lineRule="auto"/>
      <w:ind w:left="0"/>
    </w:pPr>
    <w:rPr>
      <w:rFonts w:ascii="Cambria" w:cs="Cambria" w:eastAsia="Cambria" w:hAnsi="Cambria"/>
      <w:color w:val="404040"/>
      <w:sz w:val="56"/>
      <w:szCs w:val="56"/>
    </w:rPr>
  </w:style>
  <w:style w:type="paragraph" w:styleId="Normal" w:default="1">
    <w:name w:val="Normal"/>
    <w:qFormat w:val="1"/>
  </w:style>
  <w:style w:type="paragraph" w:styleId="Heading1">
    <w:name w:val="heading 1"/>
    <w:basedOn w:val="Normal"/>
    <w:next w:val="Normal"/>
    <w:link w:val="Heading1Char"/>
    <w:uiPriority w:val="1"/>
    <w:qFormat w:val="1"/>
    <w:pPr>
      <w:keepNext w:val="1"/>
      <w:keepLines w:val="1"/>
      <w:tabs>
        <w:tab w:val="right" w:pos="9360"/>
      </w:tabs>
      <w:spacing w:after="0" w:before="240"/>
      <w:ind w:left="0"/>
      <w:outlineLvl w:val="0"/>
    </w:pPr>
    <w:rPr>
      <w:rFonts w:asciiTheme="majorHAnsi" w:cstheme="majorBidi" w:eastAsiaTheme="majorEastAsia" w:hAnsiTheme="majorHAnsi"/>
      <w:color w:val="365f91" w:themeColor="accent1" w:themeShade="0000BF"/>
      <w:sz w:val="32"/>
      <w:szCs w:val="32"/>
    </w:rPr>
  </w:style>
  <w:style w:type="paragraph" w:styleId="Heading2">
    <w:name w:val="heading 2"/>
    <w:basedOn w:val="Normal"/>
    <w:next w:val="Normal"/>
    <w:link w:val="Heading2Char"/>
    <w:uiPriority w:val="9"/>
    <w:semiHidden w:val="1"/>
    <w:unhideWhenUsed w:val="1"/>
    <w:qFormat w:val="1"/>
    <w:pPr>
      <w:keepNext w:val="1"/>
      <w:keepLines w:val="1"/>
      <w:spacing w:after="0" w:before="160"/>
      <w:ind w:left="0"/>
      <w:outlineLvl w:val="1"/>
    </w:pPr>
    <w:rPr>
      <w:rFonts w:asciiTheme="majorHAnsi" w:cstheme="majorBidi" w:eastAsiaTheme="majorEastAsia" w:hAnsiTheme="majorHAnsi"/>
      <w:color w:val="365f91" w:themeColor="accent1" w:themeShade="0000BF"/>
      <w:sz w:val="26"/>
      <w:szCs w:val="2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
    <w:qFormat w:val="1"/>
    <w:pPr>
      <w:spacing w:before="240" w:line="240" w:lineRule="auto"/>
      <w:ind w:left="0"/>
      <w:contextualSpacing w:val="1"/>
    </w:pPr>
    <w:rPr>
      <w:rFonts w:asciiTheme="majorHAnsi" w:cstheme="majorBidi" w:eastAsiaTheme="majorEastAsia" w:hAnsiTheme="majorHAnsi"/>
      <w:color w:val="404040" w:themeColor="text1" w:themeTint="0000BF"/>
      <w:spacing w:val="-10"/>
      <w:kern w:val="28"/>
      <w:sz w:val="56"/>
      <w:szCs w:val="56"/>
    </w:rPr>
  </w:style>
  <w:style w:type="character" w:styleId="Heading2Char" w:customStyle="1">
    <w:name w:val="Heading 2 Char"/>
    <w:basedOn w:val="DefaultParagraphFont"/>
    <w:link w:val="Heading2"/>
    <w:uiPriority w:val="9"/>
    <w:semiHidden w:val="1"/>
    <w:rPr>
      <w:rFonts w:asciiTheme="majorHAnsi" w:cstheme="majorBidi" w:eastAsiaTheme="majorEastAsia" w:hAnsiTheme="majorHAnsi"/>
      <w:color w:val="365f91" w:themeColor="accent1" w:themeShade="0000BF"/>
      <w:spacing w:val="4"/>
      <w:sz w:val="26"/>
      <w:szCs w:val="26"/>
    </w:rPr>
  </w:style>
  <w:style w:type="character" w:styleId="PlaceholderText">
    <w:name w:val="Placeholder Text"/>
    <w:basedOn w:val="DefaultParagraphFont"/>
    <w:uiPriority w:val="99"/>
    <w:semiHidden w:val="1"/>
    <w:rPr>
      <w:color w:val="808080"/>
    </w:rPr>
  </w:style>
  <w:style w:type="paragraph" w:styleId="Footer">
    <w:name w:val="footer"/>
    <w:basedOn w:val="Normal"/>
    <w:link w:val="FooterChar"/>
    <w:uiPriority w:val="99"/>
    <w:unhideWhenUsed w:val="1"/>
    <w:pPr>
      <w:tabs>
        <w:tab w:val="center" w:pos="4680"/>
        <w:tab w:val="right" w:pos="9360"/>
      </w:tabs>
      <w:spacing w:after="0" w:line="240" w:lineRule="auto"/>
      <w:ind w:left="0"/>
    </w:pPr>
    <w:rPr>
      <w:color w:val="548dd4" w:themeColor="text2" w:themeTint="000099"/>
    </w:rPr>
  </w:style>
  <w:style w:type="character" w:styleId="FooterChar" w:customStyle="1">
    <w:name w:val="Footer Char"/>
    <w:basedOn w:val="DefaultParagraphFont"/>
    <w:link w:val="Footer"/>
    <w:uiPriority w:val="99"/>
    <w:rPr>
      <w:color w:val="548dd4" w:themeColor="text2" w:themeTint="000099"/>
      <w:spacing w:val="4"/>
      <w:sz w:val="20"/>
      <w:szCs w:val="20"/>
    </w:rPr>
  </w:style>
  <w:style w:type="character" w:styleId="TitleChar" w:customStyle="1">
    <w:name w:val="Title Char"/>
    <w:basedOn w:val="DefaultParagraphFont"/>
    <w:link w:val="Title"/>
    <w:uiPriority w:val="1"/>
    <w:rPr>
      <w:rFonts w:asciiTheme="majorHAnsi" w:cstheme="majorBidi" w:eastAsiaTheme="majorEastAsia" w:hAnsiTheme="majorHAnsi"/>
      <w:color w:val="404040" w:themeColor="text1" w:themeTint="0000BF"/>
      <w:spacing w:val="-10"/>
      <w:kern w:val="28"/>
      <w:sz w:val="56"/>
      <w:szCs w:val="56"/>
    </w:rPr>
  </w:style>
  <w:style w:type="paragraph" w:styleId="ListNumber">
    <w:name w:val="List Number"/>
    <w:basedOn w:val="Normal"/>
    <w:uiPriority w:val="1"/>
    <w:qFormat w:val="1"/>
    <w:pPr>
      <w:keepNext w:val="1"/>
      <w:numPr>
        <w:numId w:val="1"/>
      </w:numPr>
    </w:pPr>
    <w:rPr>
      <w:b w:val="1"/>
      <w:bCs w:val="1"/>
    </w:rPr>
  </w:style>
  <w:style w:type="paragraph" w:styleId="ListNumber2">
    <w:name w:val="List Number 2"/>
    <w:basedOn w:val="Normal"/>
    <w:uiPriority w:val="1"/>
    <w:qFormat w:val="1"/>
    <w:pPr>
      <w:numPr>
        <w:numId w:val="2"/>
      </w:numPr>
      <w:contextualSpacing w:val="1"/>
    </w:pPr>
  </w:style>
  <w:style w:type="paragraph" w:styleId="ListNumber3">
    <w:name w:val="List Number 3"/>
    <w:basedOn w:val="Normal"/>
    <w:uiPriority w:val="1"/>
    <w:qFormat w:val="1"/>
    <w:pPr>
      <w:numPr>
        <w:numId w:val="3"/>
      </w:numPr>
      <w:contextualSpacing w:val="1"/>
    </w:pPr>
  </w:style>
  <w:style w:type="paragraph" w:styleId="ListNumber4">
    <w:name w:val="List Number 4"/>
    <w:basedOn w:val="Normal"/>
    <w:uiPriority w:val="1"/>
    <w:qFormat w:val="1"/>
    <w:pPr>
      <w:numPr>
        <w:numId w:val="4"/>
      </w:numPr>
      <w:contextualSpacing w:val="1"/>
    </w:pPr>
  </w:style>
  <w:style w:type="character" w:styleId="Heading1Char" w:customStyle="1">
    <w:name w:val="Heading 1 Char"/>
    <w:basedOn w:val="DefaultParagraphFont"/>
    <w:link w:val="Heading1"/>
    <w:uiPriority w:val="1"/>
    <w:rPr>
      <w:rFonts w:asciiTheme="majorHAnsi" w:cstheme="majorBidi" w:eastAsiaTheme="majorEastAsia" w:hAnsiTheme="majorHAnsi"/>
      <w:color w:val="365f91" w:themeColor="accent1" w:themeShade="0000BF"/>
      <w:spacing w:val="4"/>
      <w:sz w:val="32"/>
      <w:szCs w:val="32"/>
    </w:rPr>
  </w:style>
  <w:style w:type="character" w:styleId="Strong">
    <w:name w:val="Strong"/>
    <w:basedOn w:val="DefaultParagraphFont"/>
    <w:uiPriority w:val="22"/>
    <w:qFormat w:val="1"/>
    <w:rPr>
      <w:b w:val="1"/>
      <w:bCs w:val="1"/>
      <w:color w:val="auto"/>
    </w:rPr>
  </w:style>
  <w:style w:type="paragraph" w:styleId="Default" w:customStyle="1">
    <w:name w:val="Default"/>
    <w:rsid w:val="00C6373A"/>
    <w:pPr>
      <w:autoSpaceDE w:val="0"/>
      <w:autoSpaceDN w:val="0"/>
      <w:adjustRightInd w:val="0"/>
      <w:spacing w:after="0" w:line="240" w:lineRule="auto"/>
    </w:pPr>
    <w:rPr>
      <w:rFonts w:ascii="Arial" w:cs="Arial" w:hAnsi="Arial"/>
      <w:color w:val="000000"/>
      <w:sz w:val="24"/>
      <w:szCs w:val="24"/>
    </w:rPr>
  </w:style>
  <w:style w:type="paragraph" w:styleId="font7" w:customStyle="1">
    <w:name w:val="font_7"/>
    <w:basedOn w:val="Normal"/>
    <w:rsid w:val="00A63864"/>
    <w:pPr>
      <w:spacing w:after="100" w:afterAutospacing="1" w:before="100" w:beforeAutospacing="1" w:line="240" w:lineRule="auto"/>
      <w:ind w:left="0"/>
    </w:pPr>
    <w:rPr>
      <w:rFonts w:ascii="Times New Roman" w:cs="Times New Roman" w:eastAsia="Times New Roman" w:hAnsi="Times New Roman"/>
      <w:sz w:val="24"/>
      <w:szCs w:val="24"/>
    </w:rPr>
  </w:style>
  <w:style w:type="paragraph" w:styleId="ListParagraph">
    <w:name w:val="List Paragraph"/>
    <w:basedOn w:val="Normal"/>
    <w:uiPriority w:val="34"/>
    <w:qFormat w:val="1"/>
    <w:rsid w:val="00562207"/>
    <w:pPr>
      <w:spacing w:after="160" w:line="259" w:lineRule="auto"/>
      <w:ind w:left="720"/>
      <w:contextualSpacing w:val="1"/>
    </w:pPr>
    <w:rPr>
      <w:rFonts w:eastAsiaTheme="minorHAnsi"/>
      <w:sz w:val="22"/>
      <w:szCs w:val="22"/>
      <w:lang w:eastAsia="en-US"/>
    </w:rPr>
  </w:style>
  <w:style w:type="character" w:styleId="Hyperlink">
    <w:name w:val="Hyperlink"/>
    <w:basedOn w:val="DefaultParagraphFont"/>
    <w:uiPriority w:val="99"/>
    <w:unhideWhenUsed w:val="1"/>
    <w:rsid w:val="00562207"/>
    <w:rPr>
      <w:color w:val="0000ff" w:themeColor="hyperlink"/>
      <w:u w:val="single"/>
    </w:rPr>
  </w:style>
  <w:style w:type="paragraph" w:styleId="BodyTextIndent">
    <w:name w:val="Body Text Indent"/>
    <w:basedOn w:val="Normal"/>
    <w:link w:val="BodyTextIndentChar"/>
    <w:rsid w:val="009C407C"/>
    <w:pPr>
      <w:spacing w:after="120" w:line="240" w:lineRule="auto"/>
      <w:ind w:left="283"/>
    </w:pPr>
    <w:rPr>
      <w:rFonts w:ascii="Times New Roman" w:cs="Times New Roman" w:eastAsia="Times New Roman" w:hAnsi="Times New Roman"/>
      <w:sz w:val="24"/>
      <w:szCs w:val="24"/>
      <w:lang w:eastAsia="en-US"/>
    </w:rPr>
  </w:style>
  <w:style w:type="character" w:styleId="BodyTextIndentChar" w:customStyle="1">
    <w:name w:val="Body Text Indent Char"/>
    <w:basedOn w:val="DefaultParagraphFont"/>
    <w:link w:val="BodyTextIndent"/>
    <w:rsid w:val="009C407C"/>
    <w:rPr>
      <w:rFonts w:ascii="Times New Roman" w:cs="Times New Roman" w:eastAsia="Times New Roman" w:hAnsi="Times New Roman"/>
      <w:sz w:val="24"/>
      <w:szCs w:val="24"/>
      <w:lang w:eastAsia="en-US" w:val="en-AU"/>
    </w:rPr>
  </w:style>
  <w:style w:type="paragraph" w:styleId="Header">
    <w:name w:val="header"/>
    <w:basedOn w:val="Normal"/>
    <w:link w:val="HeaderChar"/>
    <w:uiPriority w:val="99"/>
    <w:unhideWhenUsed w:val="1"/>
    <w:rsid w:val="00500760"/>
    <w:pPr>
      <w:tabs>
        <w:tab w:val="center" w:pos="4513"/>
        <w:tab w:val="right" w:pos="9026"/>
      </w:tabs>
      <w:spacing w:after="0" w:line="240" w:lineRule="auto"/>
    </w:pPr>
  </w:style>
  <w:style w:type="character" w:styleId="HeaderChar" w:customStyle="1">
    <w:name w:val="Header Char"/>
    <w:basedOn w:val="DefaultParagraphFont"/>
    <w:link w:val="Header"/>
    <w:uiPriority w:val="99"/>
    <w:rsid w:val="00500760"/>
  </w:style>
  <w:style w:type="paragraph" w:styleId="BodyText">
    <w:name w:val="Body Text"/>
    <w:basedOn w:val="Normal"/>
    <w:link w:val="BodyTextChar"/>
    <w:uiPriority w:val="99"/>
    <w:unhideWhenUsed w:val="1"/>
    <w:rsid w:val="0025722E"/>
    <w:pPr>
      <w:spacing w:after="120"/>
    </w:pPr>
  </w:style>
  <w:style w:type="character" w:styleId="BodyTextChar" w:customStyle="1">
    <w:name w:val="Body Text Char"/>
    <w:basedOn w:val="DefaultParagraphFont"/>
    <w:link w:val="BodyText"/>
    <w:uiPriority w:val="99"/>
    <w:rsid w:val="0025722E"/>
  </w:style>
  <w:style w:type="paragraph" w:styleId="NormalWeb">
    <w:name w:val="Normal (Web)"/>
    <w:basedOn w:val="Normal"/>
    <w:uiPriority w:val="99"/>
    <w:unhideWhenUsed w:val="1"/>
    <w:rsid w:val="008A69AD"/>
    <w:pPr>
      <w:spacing w:after="0" w:before="150" w:line="240" w:lineRule="auto"/>
      <w:ind w:left="0"/>
    </w:pPr>
    <w:rPr>
      <w:rFonts w:ascii="Verdana" w:cs="Times New Roman" w:eastAsia="Times New Roman" w:hAnsi="Verdana"/>
      <w:sz w:val="24"/>
      <w:szCs w:val="24"/>
    </w:rPr>
  </w:style>
  <w:style w:type="paragraph" w:styleId="BodyText3">
    <w:name w:val="Body Text 3"/>
    <w:basedOn w:val="Normal"/>
    <w:link w:val="BodyText3Char"/>
    <w:unhideWhenUsed w:val="1"/>
    <w:rsid w:val="008A69AD"/>
    <w:pPr>
      <w:spacing w:after="120" w:line="240" w:lineRule="auto"/>
      <w:ind w:left="0"/>
    </w:pPr>
    <w:rPr>
      <w:rFonts w:ascii="Times New Roman" w:cs="Times New Roman" w:eastAsia="Times New Roman" w:hAnsi="Times New Roman"/>
      <w:sz w:val="16"/>
      <w:szCs w:val="16"/>
      <w:lang w:eastAsia="en-US"/>
    </w:rPr>
  </w:style>
  <w:style w:type="character" w:styleId="BodyText3Char" w:customStyle="1">
    <w:name w:val="Body Text 3 Char"/>
    <w:basedOn w:val="DefaultParagraphFont"/>
    <w:link w:val="BodyText3"/>
    <w:rsid w:val="008A69AD"/>
    <w:rPr>
      <w:rFonts w:ascii="Times New Roman" w:cs="Times New Roman" w:eastAsia="Times New Roman" w:hAnsi="Times New Roman"/>
      <w:sz w:val="16"/>
      <w:szCs w:val="16"/>
      <w:lang w:eastAsia="en-US" w:val="en-AU"/>
    </w:rPr>
  </w:style>
  <w:style w:type="character" w:styleId="Emphasis">
    <w:name w:val="Emphasis"/>
    <w:basedOn w:val="DefaultParagraphFont"/>
    <w:uiPriority w:val="20"/>
    <w:qFormat w:val="1"/>
    <w:rsid w:val="008A69AD"/>
    <w:rPr>
      <w:i w:val="1"/>
      <w:iCs w:val="1"/>
    </w:rPr>
  </w:style>
  <w:style w:type="paragraph" w:styleId="PlainText">
    <w:name w:val="Plain Text"/>
    <w:basedOn w:val="Normal"/>
    <w:link w:val="PlainTextChar"/>
    <w:uiPriority w:val="99"/>
    <w:unhideWhenUsed w:val="1"/>
    <w:rsid w:val="00716F7E"/>
    <w:pPr>
      <w:spacing w:after="0" w:line="240" w:lineRule="auto"/>
      <w:ind w:left="0"/>
    </w:pPr>
    <w:rPr>
      <w:rFonts w:cs="Times New Roman"/>
      <w:sz w:val="22"/>
      <w:szCs w:val="21"/>
    </w:rPr>
  </w:style>
  <w:style w:type="character" w:styleId="PlainTextChar" w:customStyle="1">
    <w:name w:val="Plain Text Char"/>
    <w:basedOn w:val="DefaultParagraphFont"/>
    <w:link w:val="PlainText"/>
    <w:uiPriority w:val="99"/>
    <w:rsid w:val="00716F7E"/>
    <w:rPr>
      <w:rFonts w:ascii="Calibri" w:cs="Times New Roman" w:hAnsi="Calibri"/>
      <w:sz w:val="22"/>
      <w:szCs w:val="21"/>
      <w:lang w:eastAsia="en-AU" w:val="en-AU"/>
    </w:rPr>
  </w:style>
  <w:style w:type="paragraph" w:styleId="PolicyTitle" w:customStyle="1">
    <w:name w:val="Policy Title"/>
    <w:basedOn w:val="Normal"/>
    <w:rsid w:val="00B224D3"/>
    <w:pPr>
      <w:spacing w:after="0" w:line="240" w:lineRule="auto"/>
      <w:ind w:left="0"/>
      <w:jc w:val="center"/>
    </w:pPr>
    <w:rPr>
      <w:rFonts w:ascii="Arial (W1)" w:cs="Times New Roman" w:eastAsia="Times New Roman" w:hAnsi="Arial (W1)"/>
      <w:b w:val="1"/>
      <w:sz w:val="28"/>
      <w:szCs w:val="24"/>
      <w:lang w:eastAsia="en-US"/>
    </w:rPr>
  </w:style>
  <w:style w:type="paragraph" w:styleId="BannerBig" w:customStyle="1">
    <w:name w:val="Banner Big"/>
    <w:basedOn w:val="Normal"/>
    <w:rsid w:val="00B224D3"/>
    <w:pPr>
      <w:spacing w:after="0" w:line="240" w:lineRule="auto"/>
      <w:ind w:left="0"/>
      <w:jc w:val="center"/>
    </w:pPr>
    <w:rPr>
      <w:rFonts w:ascii="Arial Black" w:cs="Times New Roman" w:eastAsia="Times New Roman" w:hAnsi="Arial Black"/>
      <w:bCs w:val="1"/>
      <w:color w:val="ffffff"/>
      <w:sz w:val="40"/>
      <w:lang w:eastAsia="en-US"/>
    </w:rPr>
  </w:style>
  <w:style w:type="paragraph" w:styleId="CommentText">
    <w:name w:val="annotation text"/>
    <w:basedOn w:val="Normal"/>
    <w:link w:val="CommentTextChar"/>
    <w:semiHidden w:val="1"/>
    <w:rsid w:val="00B224D3"/>
    <w:pPr>
      <w:spacing w:after="0" w:line="240" w:lineRule="auto"/>
      <w:ind w:left="0"/>
    </w:pPr>
    <w:rPr>
      <w:rFonts w:ascii="Arial" w:cs="Times New Roman" w:eastAsia="Times New Roman" w:hAnsi="Arial"/>
      <w:lang w:eastAsia="en-US"/>
    </w:rPr>
  </w:style>
  <w:style w:type="character" w:styleId="CommentTextChar" w:customStyle="1">
    <w:name w:val="Comment Text Char"/>
    <w:basedOn w:val="DefaultParagraphFont"/>
    <w:link w:val="CommentText"/>
    <w:semiHidden w:val="1"/>
    <w:rsid w:val="00B224D3"/>
    <w:rPr>
      <w:rFonts w:ascii="Arial" w:cs="Times New Roman" w:eastAsia="Times New Roman" w:hAnsi="Arial"/>
      <w:lang w:eastAsia="en-US" w:val="en-AU"/>
    </w:rPr>
  </w:style>
  <w:style w:type="paragraph" w:styleId="HeaderText" w:customStyle="1">
    <w:name w:val="Header Text"/>
    <w:basedOn w:val="Normal"/>
    <w:rsid w:val="00B224D3"/>
    <w:pPr>
      <w:autoSpaceDE w:val="0"/>
      <w:autoSpaceDN w:val="0"/>
      <w:adjustRightInd w:val="0"/>
      <w:spacing w:after="0" w:line="240" w:lineRule="auto"/>
      <w:ind w:left="0"/>
    </w:pPr>
    <w:rPr>
      <w:rFonts w:ascii="Arial" w:cs="Arial" w:eastAsia="Times New Roman" w:hAnsi="Arial"/>
      <w:i w:val="1"/>
      <w:iCs w:val="1"/>
      <w:lang w:eastAsia="en-US"/>
    </w:rPr>
  </w:style>
  <w:style w:type="paragraph" w:styleId="Departmentof" w:customStyle="1">
    <w:name w:val="Department of"/>
    <w:basedOn w:val="Normal"/>
    <w:rsid w:val="00B224D3"/>
    <w:pPr>
      <w:spacing w:after="0" w:line="200" w:lineRule="exact"/>
      <w:ind w:left="0"/>
    </w:pPr>
    <w:rPr>
      <w:rFonts w:ascii="Lato Regular" w:cs="Lato Regular" w:eastAsia="Times New Roman" w:hAnsi="Lato Regular"/>
      <w:caps w:val="1"/>
      <w:color w:val="231f20"/>
      <w:sz w:val="17"/>
      <w:szCs w:val="17"/>
      <w:u w:color="000000"/>
    </w:rPr>
  </w:style>
  <w:style w:type="paragraph" w:styleId="Departmentname" w:customStyle="1">
    <w:name w:val="Department name"/>
    <w:basedOn w:val="Departmentof"/>
    <w:rsid w:val="00B224D3"/>
    <w:rPr>
      <w:rFonts w:ascii="Lato Black" w:cs="Lato Black" w:hAnsi="Lato Black"/>
    </w:rPr>
  </w:style>
  <w:style w:type="paragraph" w:styleId="web" w:customStyle="1">
    <w:name w:val="web"/>
    <w:basedOn w:val="Normal"/>
    <w:rsid w:val="00B224D3"/>
    <w:pPr>
      <w:spacing w:after="0" w:line="240" w:lineRule="exact"/>
      <w:ind w:left="0"/>
    </w:pPr>
    <w:rPr>
      <w:rFonts w:ascii="Lato Black" w:cs="Lato Black" w:eastAsia="Times New Roman" w:hAnsi="Lato Black"/>
      <w:color w:val="231f20"/>
      <w:sz w:val="18"/>
      <w:szCs w:val="18"/>
      <w:u w:color="000000"/>
    </w:rPr>
  </w:style>
  <w:style w:type="character" w:styleId="sizetag" w:customStyle="1">
    <w:name w:val="sizetag"/>
    <w:basedOn w:val="DefaultParagraphFont"/>
    <w:rsid w:val="00D9345F"/>
  </w:style>
  <w:style w:type="character" w:styleId="FollowedHyperlink">
    <w:name w:val="FollowedHyperlink"/>
    <w:basedOn w:val="DefaultParagraphFont"/>
    <w:uiPriority w:val="99"/>
    <w:semiHidden w:val="1"/>
    <w:unhideWhenUsed w:val="1"/>
    <w:rsid w:val="00D9345F"/>
    <w:rPr>
      <w:color w:val="800080" w:themeColor="followedHyperlink"/>
      <w:u w:val="single"/>
    </w:rPr>
  </w:style>
  <w:style w:type="table" w:styleId="TableGrid">
    <w:name w:val="Table Grid"/>
    <w:basedOn w:val="TableNormal"/>
    <w:uiPriority w:val="59"/>
    <w:rsid w:val="00D52FAA"/>
    <w:pPr>
      <w:spacing w:after="0" w:line="240" w:lineRule="auto"/>
    </w:pPr>
    <w:rPr>
      <w:rFonts w:ascii="Times New Roman" w:cs="Times New Roman" w:eastAsia="Times New Roman" w:hAnsi="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customStyle="1">
    <w:name w:val="Unresolved Mention"/>
    <w:basedOn w:val="DefaultParagraphFont"/>
    <w:uiPriority w:val="99"/>
    <w:semiHidden w:val="1"/>
    <w:unhideWhenUsed w:val="1"/>
    <w:rsid w:val="00FD57FE"/>
    <w:rPr>
      <w:color w:val="605e5c"/>
      <w:shd w:color="auto" w:fill="e1dfdd" w:val="clear"/>
    </w:rPr>
  </w:style>
  <w:style w:type="character" w:styleId="PageNumber">
    <w:name w:val="page number"/>
    <w:basedOn w:val="DefaultParagraphFont"/>
    <w:uiPriority w:val="99"/>
    <w:semiHidden w:val="1"/>
    <w:unhideWhenUsed w:val="1"/>
    <w:rsid w:val="009A4A75"/>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0.0" w:type="dxa"/>
        <w:right w:w="0.0" w:type="dxa"/>
      </w:tblCellMar>
    </w:tblPr>
  </w:style>
  <w:style w:type="paragraph" w:styleId="BalloonText">
    <w:name w:val="Balloon Text"/>
    <w:basedOn w:val="Normal"/>
    <w:link w:val="BalloonTextChar"/>
    <w:uiPriority w:val="99"/>
    <w:semiHidden w:val="1"/>
    <w:unhideWhenUsed w:val="1"/>
    <w:rsid w:val="00200748"/>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00748"/>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4.xml"/><Relationship Id="rId11" Type="http://schemas.openxmlformats.org/officeDocument/2006/relationships/hyperlink" Target="https://www.education.vic.gov.au/school/teachers/learningneeds/Pages/ndisfundedtherapy.aspx" TargetMode="External"/><Relationship Id="rId10" Type="http://schemas.openxmlformats.org/officeDocument/2006/relationships/hyperlink" Target="https://www.education.vic.gov.au/school/teachers/behaviour/engagement/Pages/reengagement.aspx" TargetMode="External"/><Relationship Id="rId21" Type="http://schemas.openxmlformats.org/officeDocument/2006/relationships/footer" Target="footer4.xml"/><Relationship Id="rId13" Type="http://schemas.openxmlformats.org/officeDocument/2006/relationships/header" Target="header1.xml"/><Relationship Id="rId12" Type="http://schemas.openxmlformats.org/officeDocument/2006/relationships/hyperlink" Target="https://www.education.vic.gov.au/Documents/school/teachers/learningneeds/NDISfundedtherapyschools.doc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cyp.vic.gov.au/child-safety/resources/guides-and-information-sheets#TOC-6" TargetMode="External"/><Relationship Id="rId15" Type="http://schemas.openxmlformats.org/officeDocument/2006/relationships/header" Target="header2.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styles" Target="styles.xml"/><Relationship Id="rId19" Type="http://schemas.openxmlformats.org/officeDocument/2006/relationships/header" Target="header5.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1.jpg"/><Relationship Id="rId8" Type="http://schemas.openxmlformats.org/officeDocument/2006/relationships/hyperlink" Target="https://www.education.vic.gov.au/school/teachers/health/childprotection/Pages/default.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poYfecKuOkiiIYer91K6YkLMIg==">AMUW2mVQCi54rpYUt/1mDiFF2OWuvQaovXfR2I97DAlSRAW8ve7EXSa0xi6kHoF5xHiCWQgXe5A8/AFpV0+GdVp8YgF9fliVJqzxy8InIGbpmk0pfLmWOjlTtWTjt+fx7vPfm9EQeYJP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2019-09-19T05:40:00Z</dcterms:created>
  <dc:creator>Armstrong, Suzanne 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TC040218179991</vt:lpwstr>
  </property>
</Properties>
</file>