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9360"/>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Hamlyn Views School </w:t>
        <w:tab/>
        <w:t xml:space="preserve">    </w:t>
      </w:r>
      <w:r w:rsidDel="00000000" w:rsidR="00000000" w:rsidRPr="00000000">
        <w:rPr>
          <w:rFonts w:ascii="Century Gothic" w:cs="Century Gothic" w:eastAsia="Century Gothic" w:hAnsi="Century Gothic"/>
        </w:rPr>
        <w:drawing>
          <wp:inline distB="0" distT="0" distL="0" distR="0">
            <wp:extent cx="856516" cy="588404"/>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56516" cy="5884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color="000000" w:space="1" w:sz="4" w:val="single"/>
          <w:left w:color="000000" w:space="4" w:sz="4" w:val="single"/>
          <w:bottom w:color="000000" w:space="1" w:sz="4" w:val="single"/>
          <w:right w:color="000000" w:space="4" w:sz="4" w:val="single"/>
        </w:pBd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Inclusion and Diversity Poli</w:t>
      </w:r>
      <w:r w:rsidDel="00000000" w:rsidR="00000000" w:rsidRPr="00000000">
        <w:rPr>
          <w:rFonts w:ascii="Century Gothic" w:cs="Century Gothic" w:eastAsia="Century Gothic" w:hAnsi="Century Gothic"/>
          <w:sz w:val="52"/>
          <w:szCs w:val="52"/>
          <w:rtl w:val="0"/>
        </w:rPr>
        <w:t xml:space="preserve">cy </w:t>
        <w:br w:type="textWrapping"/>
      </w:r>
      <w:r w:rsidDel="00000000" w:rsidR="00000000" w:rsidRPr="00000000">
        <w:rPr>
          <w:rFonts w:ascii="Century Gothic" w:cs="Century Gothic" w:eastAsia="Century Gothic" w:hAnsi="Century Gothic"/>
          <w:sz w:val="40"/>
          <w:szCs w:val="40"/>
          <w:rtl w:val="0"/>
        </w:rPr>
        <w:t xml:space="preserve">(includes Equal Opportunity and Sexual Harassment)</w:t>
      </w:r>
      <w:r w:rsidDel="00000000" w:rsidR="00000000" w:rsidRPr="00000000">
        <w:rPr>
          <w:rtl w:val="0"/>
        </w:rPr>
      </w:r>
    </w:p>
    <w:p w:rsidR="00000000" w:rsidDel="00000000" w:rsidP="00000000" w:rsidRDefault="00000000" w:rsidRPr="00000000" w14:paraId="00000003">
      <w:pPr>
        <w:spacing w:after="0" w:line="259" w:lineRule="auto"/>
        <w:ind w:left="0"/>
        <w:jc w:val="both"/>
        <w:rPr>
          <w:rFonts w:ascii="Century Gothic" w:cs="Century Gothic" w:eastAsia="Century Gothic" w:hAnsi="Century Gothic"/>
          <w:b w:val="1"/>
          <w:smallCaps w:val="1"/>
          <w:sz w:val="24"/>
          <w:szCs w:val="24"/>
        </w:rPr>
      </w:pPr>
      <w:r w:rsidDel="00000000" w:rsidR="00000000" w:rsidRPr="00000000">
        <w:rPr>
          <w:b w:val="1"/>
          <w:smallCaps w:val="1"/>
          <w:sz w:val="24"/>
          <w:szCs w:val="24"/>
        </w:rPr>
        <w:drawing>
          <wp:inline distB="114300" distT="114300" distL="114300" distR="114300">
            <wp:extent cx="998276" cy="1002772"/>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98276" cy="100277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76" w:lineRule="auto"/>
        <w:ind w:left="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Help for non-English speakers</w:t>
      </w:r>
    </w:p>
    <w:p w:rsidR="00000000" w:rsidDel="00000000" w:rsidP="00000000" w:rsidRDefault="00000000" w:rsidRPr="00000000" w14:paraId="00000005">
      <w:pPr>
        <w:spacing w:after="0" w:line="276" w:lineRule="auto"/>
        <w:ind w:left="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you need help to understand the information in this policy please contact Hamlyn Views School on (03)52155700</w:t>
      </w:r>
    </w:p>
    <w:p w:rsidR="00000000" w:rsidDel="00000000" w:rsidP="00000000" w:rsidRDefault="00000000" w:rsidRPr="00000000" w14:paraId="00000006">
      <w:pPr>
        <w:spacing w:after="0" w:line="276" w:lineRule="auto"/>
        <w:ind w:left="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1"/>
          <w:i w:val="0"/>
          <w:smallCaps w:val="1"/>
          <w:strike w:val="0"/>
          <w:color w:val="000000"/>
          <w:sz w:val="22"/>
          <w:szCs w:val="22"/>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purpose of this policy is to explain Hamlyn Views School’s commitment to making sure every member of our school community, regardless of their background or personal attributes, is treated with respect and dignity. Hamlyn Views School strives to provide a safe, inclusive and supportive school environment which values the human rights of all students, staff and our school community. For staff, this policy should be read alongside the Department of Education and Training’s </w:t>
      </w:r>
      <w:hyperlink r:id="rId9">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Respectful Workplaces</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policies (including </w:t>
      </w:r>
      <w:hyperlink r:id="rId10">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Equal Opportunity and Anti-Discrimination</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Sexual Harassment</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and </w:t>
      </w:r>
      <w:hyperlink r:id="rId12">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Workplace Bullying</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as these whole of Department policies apply to all staff at  Hamlyn Views School.</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22"/>
          <w:szCs w:val="22"/>
          <w:u w:val="none"/>
          <w:shd w:fill="auto" w:val="clear"/>
          <w:vertAlign w:val="baseline"/>
          <w:rtl w:val="0"/>
        </w:rPr>
        <w:t xml:space="preserve">POLICY</w:t>
      </w:r>
      <w:r w:rsidDel="00000000" w:rsidR="00000000" w:rsidRPr="00000000">
        <w:rPr>
          <w:rtl w:val="0"/>
        </w:rPr>
      </w:r>
    </w:p>
    <w:p w:rsidR="00000000" w:rsidDel="00000000" w:rsidP="00000000" w:rsidRDefault="00000000" w:rsidRPr="00000000" w14:paraId="0000000A">
      <w:pPr>
        <w:pStyle w:val="Heading3"/>
        <w:spacing w:after="240" w:lineRule="auto"/>
        <w:ind w:left="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color w:val="000000"/>
          <w:sz w:val="20"/>
          <w:szCs w:val="20"/>
          <w:rtl w:val="0"/>
        </w:rPr>
        <w:t xml:space="preserve">Definitions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Personal attribute</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 personal characteristic that is protected by State or Commonwealth anti-discrimination legislation. These include: race, disability, sex, sexual orientation, gender identity, religious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Direct discrimination: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unfavourable treatment because of a person’s protected attribute.</w:t>
      </w: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Indirect discrimination:</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imposing an unreasonable requirement, condition or practice that disadvantages a person or group of people with a protected attribute.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Sexual harassment:</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unwelcome conduct of a sexual nature towards another person which could reasonably be expected to make that other person feel offended, humiliated or intimidated. It may be physical, verbal, visual or written.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Disability harassment</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humiliating comments or actions about a person’s disability.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Vilification</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conduct that incites hatred towards or revulsion or severe ridicule of a person or group of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people on the basis of their race or religion.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Victimisation</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rsidR="00000000" w:rsidDel="00000000" w:rsidP="00000000" w:rsidRDefault="00000000" w:rsidRPr="00000000" w14:paraId="00000012">
      <w:pPr>
        <w:pStyle w:val="Heading3"/>
        <w:spacing w:after="240" w:lineRule="auto"/>
        <w:ind w:left="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color w:val="000000"/>
          <w:rtl w:val="0"/>
        </w:rPr>
        <w:t xml:space="preserve">Inclusion and diversity</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Hamlyn Views School 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Hamlyn Views School acknowledges and celebrates the diversity of backgrounds and experiences in our school community and we will not tolerate behaviours, language or practices that label, stereotype or demean others. At Hamlyn Views School we value the human rights of every student and we take our obligations under anti-discrimination laws and the Charter of Human Rights and Responsibilities seriously.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Hamlyn Views School will:</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Actively nurture and promote a culture where everyone is treated with respect and dignity</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students are not discriminated against (directly or indirectly) and where necessary, are reasonably accommodated to participate in their education and school activities (eg schools sports, concerts, and other special events) on the same basis as their peers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acknowledge and respond to the diverse needs, identities and strengths of all students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encourage empathy and fairness towards others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challenge stereotypes that promote prejudicial and biased behaviours and practices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contribute to positive learning, engagement and wellbeing outcomes for students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respond to complaints and allegations appropriately and ensure that students are not victimised.</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Bullying, unlawful discrimination, harassment, vilification and other forms of inappropriate behaviour targeting individuals or groups because of their personal attributes will not be tolerated at Hamlyn Views School. We will take appropriate measures, consistent with our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Student Wellbeing and Engagement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and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Bullying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policies to respond to students who demonstrate these behaviours at our school.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Students who may have experienced or witnessed this type of behaviour are encouraged to speak up and to let their teachers, parents or carers know about those behaviours to ensure that inappropriate behaviour can be addressed.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Reasonable adjustments for students with disabilities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Hamlyn Views School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through Student Support Group processes in consultation with the student, their parents or carers, their teachers and if appropriate, Allied Health Professionals or their treating practitioners. For more information about support available for students with disabilities, and communicating with us in relation to a student’s disability, please refer to our school’s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Student Wellbeing and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Engagement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policy or contact the school on Ph:52155700. </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22"/>
          <w:szCs w:val="22"/>
          <w:u w:val="none"/>
          <w:shd w:fill="auto" w:val="clear"/>
          <w:vertAlign w:val="baseline"/>
          <w:rtl w:val="0"/>
        </w:rPr>
        <w:t xml:space="preserve">RELATED POLICIES AND RESOURCES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See School Policies: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Student Engagement and Wellbeing</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Prevention of Bullying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Statement of Values and Philosophy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For staff, please see the Department’s </w:t>
      </w:r>
      <w:hyperlink r:id="rId13">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Equal Opportunity and Anti-Discrimination Policy</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Sexual Harassment Policy</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and </w:t>
      </w:r>
      <w:hyperlink r:id="rId15">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Workplace Bullying Policy</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which apply to all staff working at our school.</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Other relevant Department policies and resources on the School Policy and Advisory Guide are:</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40" w:line="240" w:lineRule="auto"/>
        <w:ind w:left="144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hyperlink r:id="rId16">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Inclusive Education</w:t>
        </w:r>
      </w:hyperlink>
      <w:r w:rsidDel="00000000" w:rsidR="00000000" w:rsidRPr="00000000">
        <w:rPr>
          <w:rtl w:val="0"/>
        </w:rPr>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hyperlink r:id="rId17">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Koorie Education </w:t>
        </w:r>
      </w:hyperlink>
      <w:r w:rsidDel="00000000" w:rsidR="00000000" w:rsidRPr="00000000">
        <w:rPr>
          <w:rtl w:val="0"/>
        </w:rPr>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hyperlink r:id="rId18">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Teaching Aboriginal and Torres Strait Islander Culture </w:t>
        </w:r>
      </w:hyperlink>
      <w:r w:rsidDel="00000000" w:rsidR="00000000" w:rsidRPr="00000000">
        <w:rPr>
          <w:rtl w:val="0"/>
        </w:rPr>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hyperlink r:id="rId19">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Safe Schools </w:t>
        </w:r>
      </w:hyperlink>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hyperlink r:id="rId20">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Supports and Services </w:t>
        </w:r>
      </w:hyperlink>
      <w:r w:rsidDel="00000000" w:rsidR="00000000" w:rsidRPr="00000000">
        <w:rPr>
          <w:rtl w:val="0"/>
        </w:rPr>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hyperlink r:id="rId21">
        <w:r w:rsidDel="00000000" w:rsidR="00000000" w:rsidRPr="00000000">
          <w:rPr>
            <w:rFonts w:ascii="Century Gothic" w:cs="Century Gothic" w:eastAsia="Century Gothic" w:hAnsi="Century Gothic"/>
            <w:b w:val="0"/>
            <w:i w:val="0"/>
            <w:smallCaps w:val="0"/>
            <w:strike w:val="0"/>
            <w:color w:val="0563c1"/>
            <w:sz w:val="22"/>
            <w:szCs w:val="22"/>
            <w:u w:val="single"/>
            <w:shd w:fill="auto" w:val="clear"/>
            <w:vertAlign w:val="baseline"/>
            <w:rtl w:val="0"/>
          </w:rPr>
          <w:t xml:space="preserve">Program for Students with Disabilities </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22"/>
          <w:szCs w:val="22"/>
          <w:u w:val="none"/>
          <w:shd w:fill="auto" w:val="clear"/>
          <w:vertAlign w:val="baseline"/>
          <w:rtl w:val="0"/>
        </w:rPr>
        <w:t xml:space="preserve">REVIEW CYCLE</w:t>
      </w:r>
      <w:r w:rsidDel="00000000" w:rsidR="00000000" w:rsidRPr="00000000">
        <w:rPr>
          <w:rtl w:val="0"/>
        </w:rPr>
      </w:r>
    </w:p>
    <w:p w:rsidR="00000000" w:rsidDel="00000000" w:rsidP="00000000" w:rsidRDefault="00000000" w:rsidRPr="00000000" w14:paraId="0000002F">
      <w:pPr>
        <w:spacing w:after="160" w:line="259" w:lineRule="auto"/>
        <w:ind w:left="0"/>
        <w:jc w:val="both"/>
        <w:rPr>
          <w:rFonts w:ascii="Century Gothic" w:cs="Century Gothic" w:eastAsia="Century Gothic" w:hAnsi="Century Gothic"/>
        </w:rPr>
      </w:pPr>
      <w:r w:rsidDel="00000000" w:rsidR="00000000" w:rsidRPr="00000000">
        <w:rPr>
          <w:rtl w:val="0"/>
        </w:rPr>
      </w:r>
    </w:p>
    <w:tbl>
      <w:tblPr>
        <w:tblStyle w:val="Table1"/>
        <w:tblW w:w="9195.0" w:type="dxa"/>
        <w:jc w:val="left"/>
        <w:tblInd w:w="415.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835"/>
        <w:gridCol w:w="6360"/>
        <w:tblGridChange w:id="0">
          <w:tblGrid>
            <w:gridCol w:w="2835"/>
            <w:gridCol w:w="6360"/>
          </w:tblGrid>
        </w:tblGridChange>
      </w:tblGrid>
      <w:tr>
        <w:trPr>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line="276" w:lineRule="auto"/>
              <w:ind w:left="0"/>
              <w:jc w:val="both"/>
              <w:rPr>
                <w:b w:val="1"/>
                <w:sz w:val="22"/>
                <w:szCs w:val="22"/>
              </w:rPr>
            </w:pPr>
            <w:r w:rsidDel="00000000" w:rsidR="00000000" w:rsidRPr="00000000">
              <w:rPr>
                <w:b w:val="1"/>
                <w:sz w:val="22"/>
                <w:szCs w:val="22"/>
                <w:rtl w:val="0"/>
              </w:rPr>
              <w:t xml:space="preserve">Policy last reviewed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line="276" w:lineRule="auto"/>
              <w:ind w:left="0"/>
              <w:jc w:val="both"/>
              <w:rPr>
                <w:sz w:val="22"/>
                <w:szCs w:val="22"/>
              </w:rPr>
            </w:pPr>
            <w:r w:rsidDel="00000000" w:rsidR="00000000" w:rsidRPr="00000000">
              <w:rPr>
                <w:sz w:val="22"/>
                <w:szCs w:val="22"/>
                <w:rtl w:val="0"/>
              </w:rPr>
              <w:t xml:space="preserve">September, 2019</w:t>
            </w:r>
          </w:p>
        </w:tc>
      </w:tr>
      <w:tr>
        <w:trPr>
          <w:trHeight w:val="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line="276" w:lineRule="auto"/>
              <w:ind w:left="0"/>
              <w:jc w:val="both"/>
              <w:rPr>
                <w:b w:val="1"/>
                <w:sz w:val="22"/>
                <w:szCs w:val="22"/>
              </w:rPr>
            </w:pPr>
            <w:r w:rsidDel="00000000" w:rsidR="00000000" w:rsidRPr="00000000">
              <w:rPr>
                <w:b w:val="1"/>
                <w:sz w:val="22"/>
                <w:szCs w:val="22"/>
                <w:rtl w:val="0"/>
              </w:rPr>
              <w:t xml:space="preserve">Approved by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line="276" w:lineRule="auto"/>
              <w:ind w:left="0"/>
              <w:jc w:val="both"/>
              <w:rPr>
                <w:sz w:val="22"/>
                <w:szCs w:val="22"/>
              </w:rPr>
            </w:pPr>
            <w:r w:rsidDel="00000000" w:rsidR="00000000" w:rsidRPr="00000000">
              <w:rPr>
                <w:sz w:val="22"/>
                <w:szCs w:val="22"/>
                <w:rtl w:val="0"/>
              </w:rPr>
              <w:t xml:space="preserve">Principal </w:t>
            </w:r>
          </w:p>
        </w:tc>
      </w:tr>
      <w:tr>
        <w:trPr>
          <w:trHeight w:val="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line="276" w:lineRule="auto"/>
              <w:ind w:left="0"/>
              <w:jc w:val="both"/>
              <w:rPr>
                <w:b w:val="1"/>
                <w:sz w:val="22"/>
                <w:szCs w:val="22"/>
              </w:rPr>
            </w:pPr>
            <w:r w:rsidDel="00000000" w:rsidR="00000000" w:rsidRPr="00000000">
              <w:rPr>
                <w:b w:val="1"/>
                <w:sz w:val="22"/>
                <w:szCs w:val="22"/>
                <w:rtl w:val="0"/>
              </w:rPr>
              <w:t xml:space="preserve">Next scheduled review date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line="276" w:lineRule="auto"/>
              <w:ind w:left="0"/>
              <w:jc w:val="both"/>
              <w:rPr>
                <w:sz w:val="22"/>
                <w:szCs w:val="22"/>
              </w:rPr>
            </w:pPr>
            <w:r w:rsidDel="00000000" w:rsidR="00000000" w:rsidRPr="00000000">
              <w:rPr>
                <w:sz w:val="22"/>
                <w:szCs w:val="22"/>
                <w:rtl w:val="0"/>
              </w:rPr>
              <w:t xml:space="preserve">2023 - this policy has a review cycle of 3 - 4 years</w:t>
            </w:r>
          </w:p>
        </w:tc>
      </w:tr>
    </w:tbl>
    <w:p w:rsidR="00000000" w:rsidDel="00000000" w:rsidP="00000000" w:rsidRDefault="00000000" w:rsidRPr="00000000" w14:paraId="00000036">
      <w:pPr>
        <w:spacing w:after="160" w:line="259" w:lineRule="auto"/>
        <w:ind w:left="0"/>
        <w:jc w:val="both"/>
        <w:rPr>
          <w:rFonts w:ascii="Century Gothic" w:cs="Century Gothic" w:eastAsia="Century Gothic" w:hAnsi="Century Gothic"/>
          <w:color w:val="ff000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972.0" w:type="dxa"/>
      <w:jc w:val="left"/>
      <w:tblInd w:w="0.0" w:type="pct"/>
      <w:tblLayout w:type="fixed"/>
      <w:tblLook w:val="0400"/>
    </w:tblPr>
    <w:tblGrid>
      <w:gridCol w:w="4986"/>
      <w:gridCol w:w="4986"/>
      <w:tblGridChange w:id="0">
        <w:tblGrid>
          <w:gridCol w:w="4986"/>
          <w:gridCol w:w="4986"/>
        </w:tblGrid>
      </w:tblGridChange>
    </w:tblGrid>
    <w:tr>
      <w:trPr>
        <w:tblHeader w:val="0"/>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HVS Inclusion and Diversity Policy 2019</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48dd4"/>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548dd4"/>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color w:val="5b9bd5"/>
      </w:rPr>
    </w:pPr>
    <w:r w:rsidDel="00000000" w:rsidR="00000000" w:rsidRPr="00000000">
      <w:rPr>
        <w:color w:val="5b9bd5"/>
        <w:rtl w:val="0"/>
      </w:rPr>
      <w:t xml:space="preserve">HVS Inclusion &amp; Diversity Policy 2019</w:t>
      <w:tab/>
      <w:tab/>
      <w:tab/>
      <w:tab/>
      <w:tab/>
      <w:tab/>
      <w:tab/>
      <w:tab/>
      <w:tab/>
      <w:t xml:space="preserve">Page </w:t>
    </w:r>
    <w:r w:rsidDel="00000000" w:rsidR="00000000" w:rsidRPr="00000000">
      <w:rPr>
        <w:color w:val="5b9bd5"/>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36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36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HVS has zero tolerance for any form of child abuse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36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hanging="36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HVS has zero tolerance for any form of child abuse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AU"/>
      </w:rPr>
    </w:rPrDefault>
    <w:pPrDefault>
      <w:pPr>
        <w:spacing w:after="240" w:line="276" w:lineRule="auto"/>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360"/>
      </w:tabs>
      <w:spacing w:after="0" w:before="240" w:lineRule="auto"/>
      <w:ind w:left="0"/>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160" w:lineRule="auto"/>
      <w:ind w:left="0"/>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40" w:line="240" w:lineRule="auto"/>
      <w:ind w:left="0"/>
    </w:pPr>
    <w:rPr>
      <w:rFonts w:ascii="Cambria" w:cs="Cambria" w:eastAsia="Cambria" w:hAnsi="Cambria"/>
      <w:color w:val="404040"/>
      <w:sz w:val="56"/>
      <w:szCs w:val="56"/>
    </w:rPr>
  </w:style>
  <w:style w:type="paragraph" w:styleId="Normal" w:default="1">
    <w:name w:val="Normal"/>
    <w:qFormat w:val="1"/>
    <w:pPr>
      <w:ind w:left="360"/>
    </w:pPr>
  </w:style>
  <w:style w:type="paragraph" w:styleId="Heading1">
    <w:name w:val="heading 1"/>
    <w:basedOn w:val="Normal"/>
    <w:next w:val="Normal"/>
    <w:link w:val="Heading1Char"/>
    <w:uiPriority w:val="1"/>
    <w:qFormat w:val="1"/>
    <w:pPr>
      <w:keepNext w:val="1"/>
      <w:keepLines w:val="1"/>
      <w:tabs>
        <w:tab w:val="right" w:pos="9360"/>
      </w:tabs>
      <w:spacing w:after="0" w:before="240"/>
      <w:ind w:left="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pPr>
      <w:keepNext w:val="1"/>
      <w:keepLines w:val="1"/>
      <w:spacing w:after="0" w:before="160"/>
      <w:ind w:left="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B37D9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365f91" w:themeColor="accent1" w:themeShade="0000BF"/>
      <w:spacing w:val="4"/>
      <w:sz w:val="26"/>
      <w:szCs w:val="26"/>
    </w:rPr>
  </w:style>
  <w:style w:type="character" w:styleId="PlaceholderText">
    <w:name w:val="Placeholder Text"/>
    <w:basedOn w:val="DefaultParagraphFont"/>
    <w:uiPriority w:val="99"/>
    <w:semiHidden w:val="1"/>
    <w:rPr>
      <w:color w:val="808080"/>
    </w:rPr>
  </w:style>
  <w:style w:type="paragraph" w:styleId="Footer">
    <w:name w:val="footer"/>
    <w:basedOn w:val="Normal"/>
    <w:link w:val="FooterChar"/>
    <w:unhideWhenUsed w:val="1"/>
    <w:pPr>
      <w:tabs>
        <w:tab w:val="center" w:pos="4680"/>
        <w:tab w:val="right" w:pos="9360"/>
      </w:tabs>
      <w:spacing w:after="0" w:line="240" w:lineRule="auto"/>
      <w:ind w:left="0"/>
    </w:pPr>
    <w:rPr>
      <w:color w:val="548dd4" w:themeColor="text2" w:themeTint="000099"/>
    </w:rPr>
  </w:style>
  <w:style w:type="character" w:styleId="FooterChar" w:customStyle="1">
    <w:name w:val="Footer Char"/>
    <w:basedOn w:val="DefaultParagraphFont"/>
    <w:link w:val="Footer"/>
    <w:uiPriority w:val="99"/>
    <w:rPr>
      <w:color w:val="548dd4" w:themeColor="text2" w:themeTint="000099"/>
      <w:spacing w:val="4"/>
      <w:sz w:val="20"/>
      <w:szCs w:val="20"/>
    </w:rPr>
  </w:style>
  <w:style w:type="paragraph" w:styleId="Title">
    <w:name w:val="Title"/>
    <w:basedOn w:val="Normal"/>
    <w:next w:val="Normal"/>
    <w:link w:val="TitleChar"/>
    <w:uiPriority w:val="1"/>
    <w:qFormat w:val="1"/>
    <w:pPr>
      <w:spacing w:before="240" w:line="240" w:lineRule="auto"/>
      <w:ind w:left="0"/>
      <w:contextualSpacing w:val="1"/>
    </w:pPr>
    <w:rPr>
      <w:rFonts w:asciiTheme="majorHAnsi" w:cstheme="majorBidi" w:eastAsiaTheme="majorEastAsia" w:hAnsiTheme="majorHAnsi"/>
      <w:color w:val="404040" w:themeColor="text1" w:themeTint="0000BF"/>
      <w:spacing w:val="-10"/>
      <w:kern w:val="28"/>
      <w:sz w:val="56"/>
      <w:szCs w:val="56"/>
    </w:rPr>
  </w:style>
  <w:style w:type="character" w:styleId="TitleChar" w:customStyle="1">
    <w:name w:val="Title Char"/>
    <w:basedOn w:val="DefaultParagraphFont"/>
    <w:link w:val="Title"/>
    <w:uiPriority w:val="1"/>
    <w:rPr>
      <w:rFonts w:asciiTheme="majorHAnsi" w:cstheme="majorBidi" w:eastAsiaTheme="majorEastAsia" w:hAnsiTheme="majorHAnsi"/>
      <w:color w:val="404040" w:themeColor="text1" w:themeTint="0000BF"/>
      <w:spacing w:val="-10"/>
      <w:kern w:val="28"/>
      <w:sz w:val="56"/>
      <w:szCs w:val="56"/>
    </w:rPr>
  </w:style>
  <w:style w:type="paragraph" w:styleId="ListNumber">
    <w:name w:val="List Number"/>
    <w:basedOn w:val="Normal"/>
    <w:uiPriority w:val="1"/>
    <w:qFormat w:val="1"/>
    <w:pPr>
      <w:keepNext w:val="1"/>
      <w:numPr>
        <w:numId w:val="1"/>
      </w:numPr>
    </w:pPr>
    <w:rPr>
      <w:b w:val="1"/>
      <w:bCs w:val="1"/>
    </w:rPr>
  </w:style>
  <w:style w:type="paragraph" w:styleId="ListNumber2">
    <w:name w:val="List Number 2"/>
    <w:basedOn w:val="Normal"/>
    <w:uiPriority w:val="1"/>
    <w:qFormat w:val="1"/>
    <w:pPr>
      <w:numPr>
        <w:numId w:val="2"/>
      </w:numPr>
      <w:contextualSpacing w:val="1"/>
    </w:pPr>
  </w:style>
  <w:style w:type="paragraph" w:styleId="ListNumber3">
    <w:name w:val="List Number 3"/>
    <w:basedOn w:val="Normal"/>
    <w:uiPriority w:val="1"/>
    <w:qFormat w:val="1"/>
    <w:pPr>
      <w:numPr>
        <w:numId w:val="3"/>
      </w:numPr>
      <w:contextualSpacing w:val="1"/>
    </w:pPr>
  </w:style>
  <w:style w:type="paragraph" w:styleId="ListNumber4">
    <w:name w:val="List Number 4"/>
    <w:basedOn w:val="Normal"/>
    <w:uiPriority w:val="1"/>
    <w:qFormat w:val="1"/>
    <w:pPr>
      <w:numPr>
        <w:numId w:val="4"/>
      </w:numPr>
      <w:contextualSpacing w:val="1"/>
    </w:pPr>
  </w:style>
  <w:style w:type="character" w:styleId="Heading1Char" w:customStyle="1">
    <w:name w:val="Heading 1 Char"/>
    <w:basedOn w:val="DefaultParagraphFont"/>
    <w:link w:val="Heading1"/>
    <w:uiPriority w:val="1"/>
    <w:rPr>
      <w:rFonts w:asciiTheme="majorHAnsi" w:cstheme="majorBidi" w:eastAsiaTheme="majorEastAsia" w:hAnsiTheme="majorHAnsi"/>
      <w:color w:val="365f91" w:themeColor="accent1" w:themeShade="0000BF"/>
      <w:spacing w:val="4"/>
      <w:sz w:val="32"/>
      <w:szCs w:val="32"/>
    </w:rPr>
  </w:style>
  <w:style w:type="character" w:styleId="Strong">
    <w:name w:val="Strong"/>
    <w:basedOn w:val="DefaultParagraphFont"/>
    <w:uiPriority w:val="22"/>
    <w:qFormat w:val="1"/>
    <w:rPr>
      <w:b w:val="1"/>
      <w:bCs w:val="1"/>
      <w:color w:val="auto"/>
    </w:rPr>
  </w:style>
  <w:style w:type="paragraph" w:styleId="Default" w:customStyle="1">
    <w:name w:val="Default"/>
    <w:rsid w:val="00C6373A"/>
    <w:pPr>
      <w:autoSpaceDE w:val="0"/>
      <w:autoSpaceDN w:val="0"/>
      <w:adjustRightInd w:val="0"/>
      <w:spacing w:after="0" w:line="240" w:lineRule="auto"/>
    </w:pPr>
    <w:rPr>
      <w:rFonts w:ascii="Arial" w:cs="Arial" w:hAnsi="Arial"/>
      <w:color w:val="000000"/>
      <w:sz w:val="24"/>
      <w:szCs w:val="24"/>
      <w:lang w:val="en-AU"/>
    </w:rPr>
  </w:style>
  <w:style w:type="paragraph" w:styleId="font7" w:customStyle="1">
    <w:name w:val="font_7"/>
    <w:basedOn w:val="Normal"/>
    <w:rsid w:val="00A63864"/>
    <w:pPr>
      <w:spacing w:after="100" w:afterAutospacing="1" w:before="100" w:beforeAutospacing="1" w:line="240" w:lineRule="auto"/>
      <w:ind w:left="0"/>
    </w:pPr>
    <w:rPr>
      <w:rFonts w:ascii="Times New Roman" w:cs="Times New Roman" w:eastAsia="Times New Roman" w:hAnsi="Times New Roman"/>
      <w:sz w:val="24"/>
      <w:szCs w:val="24"/>
      <w:lang w:eastAsia="en-AU" w:val="en-AU"/>
    </w:rPr>
  </w:style>
  <w:style w:type="paragraph" w:styleId="ListParagraph">
    <w:name w:val="List Paragraph"/>
    <w:basedOn w:val="Normal"/>
    <w:uiPriority w:val="34"/>
    <w:qFormat w:val="1"/>
    <w:rsid w:val="00562207"/>
    <w:pPr>
      <w:spacing w:after="160" w:line="259" w:lineRule="auto"/>
      <w:ind w:left="720"/>
      <w:contextualSpacing w:val="1"/>
    </w:pPr>
    <w:rPr>
      <w:rFonts w:eastAsiaTheme="minorHAnsi"/>
      <w:sz w:val="22"/>
      <w:szCs w:val="22"/>
      <w:lang w:eastAsia="en-US" w:val="en-AU"/>
    </w:rPr>
  </w:style>
  <w:style w:type="character" w:styleId="Hyperlink">
    <w:name w:val="Hyperlink"/>
    <w:basedOn w:val="DefaultParagraphFont"/>
    <w:uiPriority w:val="99"/>
    <w:unhideWhenUsed w:val="1"/>
    <w:rsid w:val="00562207"/>
    <w:rPr>
      <w:color w:val="0000ff" w:themeColor="hyperlink"/>
      <w:u w:val="single"/>
    </w:rPr>
  </w:style>
  <w:style w:type="paragraph" w:styleId="BodyText">
    <w:name w:val="Body Text"/>
    <w:basedOn w:val="Normal"/>
    <w:link w:val="BodyTextChar"/>
    <w:rsid w:val="001E4844"/>
    <w:pPr>
      <w:spacing w:after="0" w:line="240" w:lineRule="auto"/>
      <w:ind w:left="0"/>
    </w:pPr>
    <w:rPr>
      <w:rFonts w:ascii="Verdana" w:cs="Times New Roman" w:eastAsia="Times New Roman" w:hAnsi="Verdana"/>
      <w:lang w:eastAsia="en-US" w:val="en-AU"/>
    </w:rPr>
  </w:style>
  <w:style w:type="character" w:styleId="BodyTextChar" w:customStyle="1">
    <w:name w:val="Body Text Char"/>
    <w:basedOn w:val="DefaultParagraphFont"/>
    <w:link w:val="BodyText"/>
    <w:rsid w:val="001E4844"/>
    <w:rPr>
      <w:rFonts w:ascii="Verdana" w:cs="Times New Roman" w:eastAsia="Times New Roman" w:hAnsi="Verdana"/>
      <w:lang w:eastAsia="en-US" w:val="en-AU"/>
    </w:rPr>
  </w:style>
  <w:style w:type="table" w:styleId="TableGrid">
    <w:name w:val="Table Grid"/>
    <w:basedOn w:val="TableNormal"/>
    <w:uiPriority w:val="59"/>
    <w:rsid w:val="005375BF"/>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nhideWhenUsed w:val="1"/>
    <w:rsid w:val="00837806"/>
    <w:pPr>
      <w:tabs>
        <w:tab w:val="center" w:pos="4513"/>
        <w:tab w:val="right" w:pos="9026"/>
      </w:tabs>
      <w:spacing w:after="0" w:line="240" w:lineRule="auto"/>
    </w:pPr>
  </w:style>
  <w:style w:type="character" w:styleId="HeaderChar" w:customStyle="1">
    <w:name w:val="Header Char"/>
    <w:basedOn w:val="DefaultParagraphFont"/>
    <w:link w:val="Header"/>
    <w:rsid w:val="00837806"/>
  </w:style>
  <w:style w:type="character" w:styleId="FollowedHyperlink">
    <w:name w:val="FollowedHyperlink"/>
    <w:basedOn w:val="DefaultParagraphFont"/>
    <w:uiPriority w:val="99"/>
    <w:semiHidden w:val="1"/>
    <w:unhideWhenUsed w:val="1"/>
    <w:rsid w:val="00DF2029"/>
    <w:rPr>
      <w:color w:val="800080" w:themeColor="followedHyperlink"/>
      <w:u w:val="single"/>
    </w:rPr>
  </w:style>
  <w:style w:type="character" w:styleId="UnresolvedMention" w:customStyle="1">
    <w:name w:val="Unresolved Mention"/>
    <w:basedOn w:val="DefaultParagraphFont"/>
    <w:uiPriority w:val="99"/>
    <w:semiHidden w:val="1"/>
    <w:unhideWhenUsed w:val="1"/>
    <w:rsid w:val="00DF2029"/>
    <w:rPr>
      <w:color w:val="605e5c"/>
      <w:shd w:color="auto" w:fill="e1dfdd" w:val="clear"/>
    </w:rPr>
  </w:style>
  <w:style w:type="character" w:styleId="Heading3Char" w:customStyle="1">
    <w:name w:val="Heading 3 Char"/>
    <w:basedOn w:val="DefaultParagraphFont"/>
    <w:link w:val="Heading3"/>
    <w:uiPriority w:val="9"/>
    <w:semiHidden w:val="1"/>
    <w:rsid w:val="00B37D94"/>
    <w:rPr>
      <w:rFonts w:asciiTheme="majorHAnsi" w:cstheme="majorBidi" w:eastAsiaTheme="majorEastAsia" w:hAnsiTheme="majorHAnsi"/>
      <w:color w:val="243f60" w:themeColor="accent1" w:themeShade="00007F"/>
      <w:sz w:val="24"/>
      <w:szCs w:val="24"/>
    </w:rPr>
  </w:style>
  <w:style w:type="paragraph" w:styleId="NormalWeb">
    <w:name w:val="Normal (Web)"/>
    <w:basedOn w:val="Normal"/>
    <w:uiPriority w:val="99"/>
    <w:semiHidden w:val="1"/>
    <w:unhideWhenUsed w:val="1"/>
    <w:rsid w:val="00B37D94"/>
    <w:pPr>
      <w:spacing w:after="100" w:afterAutospacing="1" w:before="100" w:beforeAutospacing="1" w:line="240" w:lineRule="auto"/>
      <w:ind w:left="0"/>
    </w:pPr>
    <w:rPr>
      <w:rFonts w:ascii="Times New Roman" w:cs="Times New Roman" w:eastAsia="Times New Roman" w:hAnsi="Times New Roman"/>
      <w:sz w:val="24"/>
      <w:szCs w:val="24"/>
      <w:lang w:eastAsia="en-GB" w:val="en-AU"/>
    </w:rPr>
  </w:style>
  <w:style w:type="paragraph" w:styleId="BalloonText">
    <w:name w:val="Balloon Text"/>
    <w:basedOn w:val="Normal"/>
    <w:link w:val="BalloonTextChar"/>
    <w:uiPriority w:val="99"/>
    <w:semiHidden w:val="1"/>
    <w:unhideWhenUsed w:val="1"/>
    <w:rsid w:val="000665B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65BF"/>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ducation.vic.gov.au/school/parents/needs/Pages/supportservices.aspx" TargetMode="External"/><Relationship Id="rId22" Type="http://schemas.openxmlformats.org/officeDocument/2006/relationships/header" Target="header2.xml"/><Relationship Id="rId21" Type="http://schemas.openxmlformats.org/officeDocument/2006/relationships/hyperlink" Target="http://www.education.vic.gov.au/school/teachers/learningneeds/Pages/psdhandbook.aspx" TargetMode="External"/><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vic.gov.au/hrweb/divequity/Pages/respect.aspx"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 Id="rId11" Type="http://schemas.openxmlformats.org/officeDocument/2006/relationships/hyperlink" Target="https://www.education.vic.gov.au/hrweb/divequity/Pages/SexualHarassment.aspx" TargetMode="External"/><Relationship Id="rId10" Type="http://schemas.openxmlformats.org/officeDocument/2006/relationships/hyperlink" Target="https://www.education.vic.gov.au/hrweb/divequity/Pages/default_eeo.aspx" TargetMode="External"/><Relationship Id="rId13" Type="http://schemas.openxmlformats.org/officeDocument/2006/relationships/hyperlink" Target="https://www.education.vic.gov.au/hrweb/Documents/Equal-Opportunity-anti-discrimination-Policy.pdf" TargetMode="External"/><Relationship Id="rId12" Type="http://schemas.openxmlformats.org/officeDocument/2006/relationships/hyperlink" Target="https://www.education.vic.gov.au/hrweb/safetyhw/Pages/workplacebullying.aspx" TargetMode="External"/><Relationship Id="rId15" Type="http://schemas.openxmlformats.org/officeDocument/2006/relationships/hyperlink" Target="https://www.education.vic.gov.au/hrweb/safetyhw/Pages/workplacebullying.aspxhttps:/www.education.vic.gov.au/hrweb/safetyhw/Pages/workplacebullying.aspx" TargetMode="External"/><Relationship Id="rId14" Type="http://schemas.openxmlformats.org/officeDocument/2006/relationships/hyperlink" Target="https://www.education.vic.gov.au/hrweb/divequity/Pages/SexualHarassment.aspxhttps:/www.education.vic.gov.au/hrweb/divequity/Pages/SexualHarassment.aspx" TargetMode="External"/><Relationship Id="rId17" Type="http://schemas.openxmlformats.org/officeDocument/2006/relationships/hyperlink" Target="http://www.education.vic.gov.au/school/principals/spag/curriculum/Pages/koorie.aspx" TargetMode="External"/><Relationship Id="rId16" Type="http://schemas.openxmlformats.org/officeDocument/2006/relationships/hyperlink" Target="http://www.education.vic.gov.au/school/principals/spag/participation/Pages/studentswithdisability.aspx" TargetMode="External"/><Relationship Id="rId19" Type="http://schemas.openxmlformats.org/officeDocument/2006/relationships/hyperlink" Target="http://www.education.vic.gov.au/about/programs/health/Pages/safe-schools-coalition.aspx?Redirect=1#link8" TargetMode="External"/><Relationship Id="rId18" Type="http://schemas.openxmlformats.org/officeDocument/2006/relationships/hyperlink" Target="http://www.education.vic.gov.au/school/teachers/teachingresources/multicultural/Pages/kooriecult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nEvr5oW03xwB5IZSCuyg/JYZw==">AMUW2mWgSl+qC87TFdhc/tClEjO8EOAKh3qvVB8fQly7fOjKJy88MOgxBr92B/WyVPySJtxOhz7PsURofwSFhPahFEgV+JbBBhPy8SD7eu5yZpXxD2ipz2eWEPn8wjblkCHrozt7ipH3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2019-09-19T05:30:00Z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TC040218179991</vt:lpwstr>
  </property>
</Properties>
</file>